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6804"/>
        </w:tabs>
        <w:spacing w:before="12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Estatal para el Desarrollo de Emprendedores y del Ecosistema de Innovación</w:t>
      </w:r>
    </w:p>
    <w:p w:rsidR="00000000" w:rsidDel="00000000" w:rsidP="00000000" w:rsidRDefault="00000000" w:rsidRPr="00000000">
      <w:pPr>
        <w:tabs>
          <w:tab w:val="left" w:pos="6804"/>
        </w:tabs>
        <w:spacing w:after="60" w:before="12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A: Temario de capacitaciones</w:t>
      </w:r>
    </w:p>
    <w:p w:rsidR="00000000" w:rsidDel="00000000" w:rsidP="00000000" w:rsidRDefault="00000000" w:rsidRPr="00000000">
      <w:pPr>
        <w:tabs>
          <w:tab w:val="left" w:pos="6804"/>
        </w:tabs>
        <w:spacing w:after="60" w:before="12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Temario de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apacitación y consultoría especializada en </w:t>
      </w:r>
      <w:r w:rsidDel="00000000" w:rsidR="00000000" w:rsidRPr="00000000">
        <w:rPr>
          <w:rFonts w:ascii="Arial" w:cs="Arial" w:eastAsia="Arial" w:hAnsi="Arial"/>
          <w:b w:val="1"/>
          <w:i w:val="1"/>
          <w:highlight w:val="white"/>
          <w:rtl w:val="0"/>
        </w:rPr>
        <w:t xml:space="preserve">Design Thinking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para  emprendedores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Para la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capacitación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el beneficiario se compromete a brindar 2 talleres de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Design Thinking,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cada uno de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 64 horas de duración, para capacitar a 25 emprendedores </w:t>
      </w:r>
      <w:r w:rsidDel="00000000" w:rsidR="00000000" w:rsidRPr="00000000">
        <w:rPr>
          <w:rFonts w:ascii="Arial" w:cs="Arial" w:eastAsia="Arial" w:hAnsi="Arial"/>
          <w:rtl w:val="0"/>
        </w:rPr>
        <w:t xml:space="preserve">en cada taller.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Se impartirán los siguientes temas a profundidad y de manera práctica, dinámica y vivencial: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Identificación de valor: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el emprendedor identifique problemáticas que padece su mercado meta.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Generación de valor: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76" w:lineRule="auto"/>
        <w:ind w:left="1440" w:hanging="360"/>
        <w:contextualSpacing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Interpretando “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insights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”: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el emprendedor identifique los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insights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le proporciona el mercado.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76" w:lineRule="auto"/>
        <w:ind w:left="1440" w:hanging="360"/>
        <w:contextualSpacing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Ideación creativa e Inspiración: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generación de soluciones que aporten valor al mercado meta.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76" w:lineRule="auto"/>
        <w:ind w:left="1440" w:hanging="360"/>
        <w:contextualSpacing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Prototipos: </w:t>
      </w:r>
      <w:r w:rsidDel="00000000" w:rsidR="00000000" w:rsidRPr="00000000">
        <w:rPr>
          <w:rFonts w:ascii="Arial" w:cs="Arial" w:eastAsia="Arial" w:hAnsi="Arial"/>
          <w:rtl w:val="0"/>
        </w:rPr>
        <w:t xml:space="preserve">aterrizar lo aprendido del mercado en un prototipo.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Entregando valor mediante modelos de negocio innovadores: </w:t>
      </w:r>
      <w:r w:rsidDel="00000000" w:rsidR="00000000" w:rsidRPr="00000000">
        <w:rPr>
          <w:rFonts w:ascii="Arial" w:cs="Arial" w:eastAsia="Arial" w:hAnsi="Arial"/>
          <w:rtl w:val="0"/>
        </w:rPr>
        <w:t xml:space="preserve">Identificar maneras distintas de monetizar el valor entregado al mercado.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 cuanto al prestador de esta capacitación se espera pueda demostrar experiencia internacional práctica referente a los temas  mencionados anteriormente.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Para la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Consultoría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el beneficiario se compromete a ofrecer por lo menos 50 hrs de consultoría en total divididas entre todos los emprendedores participantes.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Se llevará a cabo mediante </w:t>
      </w:r>
      <w:r w:rsidDel="00000000" w:rsidR="00000000" w:rsidRPr="00000000">
        <w:rPr>
          <w:rFonts w:ascii="Arial" w:cs="Arial" w:eastAsia="Arial" w:hAnsi="Arial"/>
          <w:rtl w:val="0"/>
        </w:rPr>
        <w:t xml:space="preserve">sesiones de coaching en línea para validar metodología (50 hrs. para los 2 grupos).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" w:lineRule="auto"/>
        <w:ind w:right="355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Capacitación para instructores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innovación, o ”Agentes de la Innovación” en la modalidad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train-the-trainer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(formando formadores).</w:t>
      </w:r>
    </w:p>
    <w:p w:rsidR="00000000" w:rsidDel="00000000" w:rsidP="00000000" w:rsidRDefault="00000000" w:rsidRPr="00000000">
      <w:pPr>
        <w:spacing w:before="1" w:lineRule="auto"/>
        <w:ind w:right="355"/>
        <w:contextualSpacing w:val="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A manera de requisito deberá solicitar que el proveedor transfiera el conocimiento y materiales necesarios para que los “Agentes de la Innovación” puedan impartir el curso sin necesidad de pagar regalías o cualquier otra clase de derechos por el uso y explotación de los mismos.</w:t>
      </w:r>
    </w:p>
    <w:p w:rsidR="00000000" w:rsidDel="00000000" w:rsidP="00000000" w:rsidRDefault="00000000" w:rsidRPr="00000000">
      <w:pPr>
        <w:spacing w:before="1" w:lineRule="auto"/>
        <w:ind w:right="35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" w:lineRule="auto"/>
        <w:ind w:right="355"/>
        <w:contextualSpacing w:val="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La metodología girará en torno a 5 módulos obligatorios: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1" w:lineRule="auto"/>
        <w:ind w:left="72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Estrategia de innovación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1" w:lineRule="auto"/>
        <w:ind w:left="72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Ideación y exploración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1" w:lineRule="auto"/>
        <w:ind w:left="72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Validación de concepto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1" w:lineRule="auto"/>
        <w:ind w:left="72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Elaboración de modelo de negocio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1" w:lineRule="auto"/>
        <w:ind w:left="72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Introducción al mercado</w:t>
      </w:r>
    </w:p>
    <w:p w:rsidR="00000000" w:rsidDel="00000000" w:rsidP="00000000" w:rsidRDefault="00000000" w:rsidRPr="00000000">
      <w:pPr>
        <w:spacing w:before="1" w:lineRule="auto"/>
        <w:ind w:right="35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" w:lineRule="auto"/>
        <w:ind w:right="355"/>
        <w:contextualSpacing w:val="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El siguiente desglose en incisos se hace a manera de sugerencia de subtemas como referencia:</w:t>
      </w:r>
    </w:p>
    <w:p w:rsidR="00000000" w:rsidDel="00000000" w:rsidP="00000000" w:rsidRDefault="00000000" w:rsidRPr="00000000">
      <w:pPr>
        <w:spacing w:before="1" w:lineRule="auto"/>
        <w:ind w:right="35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1" w:lineRule="auto"/>
        <w:ind w:left="72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Estrategia de innovación 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Introducción a la innovación y ejemplos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Mentalidad de innovación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que hace fuerte a un innovador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Recursos y activos necesarios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Cómo manejar las expectativas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 tipos de innovación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Cómo establecer ambiciones y metas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contabilidad de las innovaciones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Definir criterios de éxito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Panorama de la innovación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1" w:lineRule="auto"/>
        <w:ind w:left="72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Ideación y exploración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creatividad y el pensamiento fuera de la caja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mapas de tendencias y de previsión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Inspiración tecnológica (conceptos erróneos)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Herramientas de ideación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Principios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Design Thinking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Técnicas de lluvia de ideas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empatía y la observación de usuario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Dónde obtener la inspiración (fuentes)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Casos de exploración transversal de la industria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1" w:lineRule="auto"/>
        <w:ind w:left="72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Validación de concepto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Asunción en el pensamiento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Herramientas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Lean Startup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Dónde y cómo encontrar usuarios de prueba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Evaluar propuesta de valor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Característica (análisis de valor)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Herramientas de experimentación (B2B y B2C)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toma de decisiones (establecer prioridades)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Errores al hablar con los primeros clientes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Validación “fuera del edifico” vs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B2B“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1" w:lineRule="auto"/>
        <w:ind w:left="72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Elaboración de modelo de negocio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Opciones de modelos de ingresos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Tácticas de precios (experimentos)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percepción del valor de características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Cómo analizar la competencia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Errores comunes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Patrones en modelado de negocios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Startups vs corporativos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Segmentación de mercado (“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early adopters</w:t>
      </w:r>
      <w:r w:rsidDel="00000000" w:rsidR="00000000" w:rsidRPr="00000000">
        <w:rPr>
          <w:rFonts w:ascii="Arial" w:cs="Arial" w:eastAsia="Arial" w:hAnsi="Arial"/>
          <w:rtl w:val="0"/>
        </w:rPr>
        <w:t xml:space="preserve">”)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Validación de precios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Encontrar parámetros de éxito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1" w:lineRule="auto"/>
        <w:ind w:left="72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Introducción al mercado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Mapa de ruta hacia el mercado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Inversión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Habilidades del equipo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Actores clave para la empresa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Administración del proyecto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before="1" w:lineRule="auto"/>
        <w:ind w:left="1440" w:right="355" w:hanging="360"/>
        <w:contextualSpacing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Identificación de riesgos y oportunidades</w:t>
      </w:r>
    </w:p>
    <w:p w:rsidR="00000000" w:rsidDel="00000000" w:rsidP="00000000" w:rsidRDefault="00000000" w:rsidRPr="00000000">
      <w:pPr>
        <w:spacing w:before="1" w:lineRule="auto"/>
        <w:ind w:right="35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Times New Roman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ind w:left="-1701" w:right="-1652" w:firstLine="0"/>
      <w:contextualSpacing w:val="0"/>
    </w:pPr>
    <w:r w:rsidDel="00000000" w:rsidR="00000000" w:rsidRPr="00000000">
      <w:drawing>
        <wp:inline distB="0" distT="0" distL="0" distR="0">
          <wp:extent cx="7829646" cy="118180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9646" cy="118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ind w:left="-1701" w:right="-1652" w:firstLine="0"/>
      <w:contextualSpacing w:val="0"/>
    </w:pPr>
    <w:r w:rsidDel="00000000" w:rsidR="00000000" w:rsidRPr="00000000">
      <w:drawing>
        <wp:inline distB="0" distT="0" distL="0" distR="0">
          <wp:extent cx="7753909" cy="1471295"/>
          <wp:effectExtent b="0" l="0" r="0" t="0"/>
          <wp:docPr id="1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3909" cy="14712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40" w:lin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60" w:before="0" w:line="240" w:lineRule="auto"/>
      <w:jc w:val="center"/>
    </w:pPr>
    <w:rPr>
      <w:rFonts w:ascii="Cambria" w:cs="Cambria" w:eastAsia="Cambria" w:hAnsi="Cambria"/>
      <w:b w:val="0"/>
      <w:i w:val="1"/>
      <w:color w:val="666666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