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Equipo de laboratorio utilizado para ampliar y ver la superficie de una muestra mediante luz visible. El equ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i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po consiste en</w:t>
            </w:r>
            <w:r w:rsidR="00066B3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una plataforma que apoya los principales componentes del mismo, un tubo de observación en el cual los oculares son</w:t>
            </w:r>
            <w:r w:rsidR="00066B3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montados, un revolver porta objetivos para soportar los mismos, un condensador para enfocar la luz en la muestra y una</w:t>
            </w:r>
            <w:r w:rsidR="00066B3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fuente de luz (halógena o LED). El aumento es el producto de la potencia del objetivo y del ocular. A veces más de una</w:t>
            </w:r>
            <w:r w:rsidR="00066B33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lente se utiliza en el ocular.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1.- Microscopio básico de rutina que amplifica la superficie de una muestra mediante luz visible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2.- Cuerpo del microscopio ergonómico y estativo metálico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3.- Tubo de observación binocular.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3.1.- Ajuste de distancia entre pupilas de 55 a 75 mm como mínimo.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3.2.- Ajuste dióptrico.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3.3.- Corrección de óptica al infinito.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3.4.- Inclinación de 30° </w:t>
            </w:r>
            <w:proofErr w:type="spellStart"/>
            <w:r w:rsidRPr="005C0235">
              <w:rPr>
                <w:rFonts w:ascii="Palatino Linotype" w:hAnsi="Palatino Linotype"/>
                <w:sz w:val="18"/>
                <w:szCs w:val="18"/>
              </w:rPr>
              <w:t>ó</w:t>
            </w:r>
            <w:proofErr w:type="spellEnd"/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 45°.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3.5.- Sistemas de prismas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4.- Oculares: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4.1.- 10X con campo de observación de 20 mm como mínimo.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4.2.- De alto punto focal para uso con o sin lentes.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4.3.- Cavidad para intercambio de retículas de medición.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5.- Revolver porta objetivos.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cr/>
            </w:r>
            <w:r>
              <w:t xml:space="preserve"> 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5.1.- Cuádruple como mínimo.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5.2.- Sistema de giro por medio de balines.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6.- Objetivos: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cr/>
            </w:r>
            <w:r>
              <w:t xml:space="preserve"> </w:t>
            </w:r>
            <w:r w:rsidRPr="005C0235">
              <w:rPr>
                <w:rFonts w:ascii="Palatino Linotype" w:hAnsi="Palatino Linotype"/>
                <w:sz w:val="18"/>
                <w:szCs w:val="18"/>
              </w:rPr>
              <w:t>6.1.- 4X, 10X, 40X, 100X como mínimo.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6.2.- Corrección de óptica al infinito.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6.3.- Plan acromático (corrección de aberraciones esférica y cromática).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6.4.- Identificación de parámetros en cada objetivo y código de color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7.- Platina.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7.1.- Pinza sujeta objetos para una o dos laminillas.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7.2.- Control de posicionamiento coaxial "X Y"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8.- Condensador.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8.1.- Apertura numérica 1.25 como mínimo.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8.2.- Tipo </w:t>
            </w:r>
            <w:proofErr w:type="spellStart"/>
            <w:r w:rsidRPr="005C0235">
              <w:rPr>
                <w:rFonts w:ascii="Palatino Linotype" w:hAnsi="Palatino Linotype"/>
                <w:sz w:val="18"/>
                <w:szCs w:val="18"/>
              </w:rPr>
              <w:t>Abbe</w:t>
            </w:r>
            <w:proofErr w:type="spellEnd"/>
            <w:r w:rsidRPr="005C0235">
              <w:rPr>
                <w:rFonts w:ascii="Palatino Linotype" w:hAnsi="Palatino Linotype"/>
                <w:sz w:val="18"/>
                <w:szCs w:val="18"/>
              </w:rPr>
              <w:t>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8.3.- Control de porta condensador integrado con tornillos de </w:t>
            </w:r>
            <w:proofErr w:type="spellStart"/>
            <w:r w:rsidRPr="005C0235">
              <w:rPr>
                <w:rFonts w:ascii="Palatino Linotype" w:hAnsi="Palatino Linotype"/>
                <w:sz w:val="18"/>
                <w:szCs w:val="18"/>
              </w:rPr>
              <w:t>centraje</w:t>
            </w:r>
            <w:proofErr w:type="spellEnd"/>
            <w:r w:rsidRPr="005C0235">
              <w:rPr>
                <w:rFonts w:ascii="Palatino Linotype" w:hAnsi="Palatino Linotype"/>
                <w:sz w:val="18"/>
                <w:szCs w:val="18"/>
              </w:rPr>
              <w:t>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9.- Sistema de enfoque coaxial.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9.1.- </w:t>
            </w:r>
            <w:proofErr w:type="spellStart"/>
            <w:r w:rsidRPr="005C0235">
              <w:rPr>
                <w:rFonts w:ascii="Palatino Linotype" w:hAnsi="Palatino Linotype"/>
                <w:sz w:val="18"/>
                <w:szCs w:val="18"/>
              </w:rPr>
              <w:t>Macrométrico</w:t>
            </w:r>
            <w:proofErr w:type="spellEnd"/>
            <w:r w:rsidRPr="005C0235">
              <w:rPr>
                <w:rFonts w:ascii="Palatino Linotype" w:hAnsi="Palatino Linotype"/>
                <w:sz w:val="18"/>
                <w:szCs w:val="18"/>
              </w:rPr>
              <w:t>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9.2.- Micrométrico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10.- Sistema de iluminación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9.2.- Micrométrico.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lastRenderedPageBreak/>
              <w:t>10.1.- Fuente de luz halógena a 30 W como mínimo o iluminación LED.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10.2.- Corrección o balanceo de luz de día (filtro azul).</w:t>
            </w:r>
          </w:p>
          <w:p w:rsidR="005C0235" w:rsidRP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10.3.- Iluminación </w:t>
            </w:r>
            <w:proofErr w:type="spellStart"/>
            <w:r w:rsidRPr="005C0235">
              <w:rPr>
                <w:rFonts w:ascii="Palatino Linotype" w:hAnsi="Palatino Linotype"/>
                <w:sz w:val="18"/>
                <w:szCs w:val="18"/>
              </w:rPr>
              <w:t>Koehler</w:t>
            </w:r>
            <w:proofErr w:type="spellEnd"/>
            <w:r w:rsidRPr="005C0235">
              <w:rPr>
                <w:rFonts w:ascii="Palatino Linotype" w:hAnsi="Palatino Linotype"/>
                <w:sz w:val="18"/>
                <w:szCs w:val="18"/>
              </w:rPr>
              <w:t>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>10.4.- Diafragma de campo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11.- Sistema </w:t>
            </w:r>
            <w:proofErr w:type="spellStart"/>
            <w:r w:rsidRPr="005C0235">
              <w:rPr>
                <w:rFonts w:ascii="Palatino Linotype" w:hAnsi="Palatino Linotype"/>
                <w:sz w:val="18"/>
                <w:szCs w:val="18"/>
              </w:rPr>
              <w:t>antifúngico</w:t>
            </w:r>
            <w:proofErr w:type="spellEnd"/>
            <w:r w:rsidRPr="005C0235">
              <w:rPr>
                <w:rFonts w:ascii="Palatino Linotype" w:hAnsi="Palatino Linotype"/>
                <w:sz w:val="18"/>
                <w:szCs w:val="18"/>
              </w:rPr>
              <w:t xml:space="preserve"> en óptica.</w:t>
            </w:r>
          </w:p>
          <w:p w:rsidR="005C0235" w:rsidRDefault="005C0235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  <w:p w:rsidR="00972E1A" w:rsidRPr="00972E1A" w:rsidRDefault="00972E1A" w:rsidP="005C0235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972E1A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modelo.</w:t>
            </w:r>
          </w:p>
          <w:p w:rsidR="00972E1A" w:rsidRPr="00972E1A" w:rsidRDefault="00972E1A" w:rsidP="00972E1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972E1A">
              <w:rPr>
                <w:rFonts w:ascii="Palatino Linotype" w:hAnsi="Palatino Linotype"/>
                <w:sz w:val="18"/>
                <w:szCs w:val="18"/>
              </w:rPr>
              <w:t>ACCESORIOS</w:t>
            </w:r>
          </w:p>
          <w:p w:rsidR="00972E1A" w:rsidRPr="00972E1A" w:rsidRDefault="00972E1A" w:rsidP="00972E1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972E1A">
              <w:rPr>
                <w:rFonts w:ascii="Palatino Linotype" w:hAnsi="Palatino Linotype"/>
                <w:sz w:val="18"/>
                <w:szCs w:val="18"/>
              </w:rPr>
              <w:t>OPCIONALES:</w:t>
            </w:r>
          </w:p>
          <w:p w:rsidR="00972E1A" w:rsidRPr="00972E1A" w:rsidRDefault="00972E1A" w:rsidP="00972E1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972E1A">
              <w:rPr>
                <w:rFonts w:ascii="Palatino Linotype" w:hAnsi="Palatino Linotype"/>
                <w:sz w:val="18"/>
                <w:szCs w:val="18"/>
              </w:rPr>
              <w:t>Las unidades médicas los seleccionarán de acuerdo a sus necesidades, marca y modelo:</w:t>
            </w:r>
          </w:p>
          <w:p w:rsidR="00972E1A" w:rsidRPr="00972E1A" w:rsidRDefault="00972E1A" w:rsidP="00972E1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972E1A">
              <w:rPr>
                <w:rFonts w:ascii="Palatino Linotype" w:hAnsi="Palatino Linotype"/>
                <w:sz w:val="18"/>
                <w:szCs w:val="18"/>
              </w:rPr>
              <w:t>adaptador</w:t>
            </w:r>
            <w:proofErr w:type="gramEnd"/>
            <w:r w:rsidRPr="00972E1A">
              <w:rPr>
                <w:rFonts w:ascii="Palatino Linotype" w:hAnsi="Palatino Linotype"/>
                <w:sz w:val="18"/>
                <w:szCs w:val="18"/>
              </w:rPr>
              <w:t xml:space="preserve"> AC-DC.</w:t>
            </w:r>
          </w:p>
          <w:p w:rsidR="006F143E" w:rsidRPr="001D6A3D" w:rsidRDefault="00972E1A" w:rsidP="00972E1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972E1A">
              <w:rPr>
                <w:rFonts w:ascii="Palatino Linotype" w:hAnsi="Palatino Linotype"/>
                <w:sz w:val="18"/>
                <w:szCs w:val="18"/>
              </w:rPr>
              <w:t>CONSUMIBLES: Las unidades médicas los seleccionarán de acuerdo a sus necesidades, marca y modelo: baterías.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AA5D88" w:rsidRDefault="005C0235" w:rsidP="006F143E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5C0235">
              <w:rPr>
                <w:sz w:val="18"/>
                <w:szCs w:val="18"/>
                <w:lang w:val="es-ES"/>
              </w:rPr>
              <w:t>Funda de protección.</w:t>
            </w:r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lastRenderedPageBreak/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7F7297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Carta de apoyo del distribuidor principal y copia de la carta de distribución del fabricante </w:t>
            </w:r>
          </w:p>
          <w:p w:rsidR="006A6C75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vigente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  <w:p w:rsidR="007F7297" w:rsidRPr="00AA5D88" w:rsidRDefault="007F7297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1D6A3D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104" w:rsidRDefault="00432104">
      <w:r>
        <w:separator/>
      </w:r>
    </w:p>
  </w:endnote>
  <w:endnote w:type="continuationSeparator" w:id="0">
    <w:p w:rsidR="00432104" w:rsidRDefault="00432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33" w:rsidRDefault="00066B3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33" w:rsidRDefault="00066B3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104" w:rsidRDefault="00432104">
      <w:r>
        <w:rPr>
          <w:color w:val="000000"/>
        </w:rPr>
        <w:separator/>
      </w:r>
    </w:p>
  </w:footnote>
  <w:footnote w:type="continuationSeparator" w:id="0">
    <w:p w:rsidR="00432104" w:rsidRDefault="004321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33" w:rsidRDefault="00066B3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432104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32104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32104" w:rsidP="00D961C6">
          <w:pPr>
            <w:pStyle w:val="Heading"/>
            <w:snapToGrid w:val="0"/>
            <w:rPr>
              <w:sz w:val="16"/>
            </w:rPr>
          </w:pPr>
          <w:bookmarkStart w:id="0" w:name="_GoBack"/>
          <w:bookmarkEnd w:id="0"/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32104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32104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C0235" w:rsidP="000B7483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MIC</w:t>
          </w:r>
          <w:r w:rsidR="00066B33">
            <w:rPr>
              <w:b/>
            </w:rPr>
            <w:t>ROSCOPIO PARA TRABAJO DE RUTINA</w:t>
          </w:r>
          <w:r w:rsidR="00C80E94">
            <w:rPr>
              <w:b/>
            </w:rPr>
            <w:t xml:space="preserve"> DE CAMPO CLARO</w:t>
          </w:r>
        </w:p>
      </w:tc>
    </w:tr>
  </w:tbl>
  <w:p w:rsidR="00345FD0" w:rsidRDefault="00432104">
    <w:pPr>
      <w:pStyle w:val="Heading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6B33" w:rsidRDefault="00066B3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66B33"/>
    <w:rsid w:val="00081671"/>
    <w:rsid w:val="00082402"/>
    <w:rsid w:val="0009362B"/>
    <w:rsid w:val="000B7483"/>
    <w:rsid w:val="0014626B"/>
    <w:rsid w:val="001C4E8B"/>
    <w:rsid w:val="001D1033"/>
    <w:rsid w:val="001D6A3D"/>
    <w:rsid w:val="00215537"/>
    <w:rsid w:val="002A5295"/>
    <w:rsid w:val="002C25CC"/>
    <w:rsid w:val="002D270B"/>
    <w:rsid w:val="0033636B"/>
    <w:rsid w:val="00336DEB"/>
    <w:rsid w:val="00364CE9"/>
    <w:rsid w:val="00392FD8"/>
    <w:rsid w:val="003F3C78"/>
    <w:rsid w:val="00432104"/>
    <w:rsid w:val="00472DD1"/>
    <w:rsid w:val="004B05D5"/>
    <w:rsid w:val="004C2951"/>
    <w:rsid w:val="004D7F08"/>
    <w:rsid w:val="004E07BB"/>
    <w:rsid w:val="0054353F"/>
    <w:rsid w:val="005A2ED6"/>
    <w:rsid w:val="005C0235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6F2CA6"/>
    <w:rsid w:val="006F5170"/>
    <w:rsid w:val="00781143"/>
    <w:rsid w:val="00794AB2"/>
    <w:rsid w:val="007B5018"/>
    <w:rsid w:val="007D0D55"/>
    <w:rsid w:val="007F7297"/>
    <w:rsid w:val="00843EDA"/>
    <w:rsid w:val="008C70EF"/>
    <w:rsid w:val="008E1BDD"/>
    <w:rsid w:val="0093085A"/>
    <w:rsid w:val="00972E1A"/>
    <w:rsid w:val="00981F52"/>
    <w:rsid w:val="009E3DE9"/>
    <w:rsid w:val="00AA5D88"/>
    <w:rsid w:val="00B10469"/>
    <w:rsid w:val="00B37D3F"/>
    <w:rsid w:val="00BC60B5"/>
    <w:rsid w:val="00BD04D7"/>
    <w:rsid w:val="00C0126A"/>
    <w:rsid w:val="00C63C63"/>
    <w:rsid w:val="00C80E94"/>
    <w:rsid w:val="00D53697"/>
    <w:rsid w:val="00D961C6"/>
    <w:rsid w:val="00DC03D0"/>
    <w:rsid w:val="00DF4F78"/>
    <w:rsid w:val="00E25083"/>
    <w:rsid w:val="00E573FC"/>
    <w:rsid w:val="00E8628D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8E960-0DEC-4D01-9613-AC2F931F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670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2019-05-19T16:35:00Z</cp:lastPrinted>
  <dcterms:created xsi:type="dcterms:W3CDTF">2019-05-19T17:23:00Z</dcterms:created>
  <dcterms:modified xsi:type="dcterms:W3CDTF">2019-05-20T21:43:00Z</dcterms:modified>
</cp:coreProperties>
</file>