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99"/>
        <w:gridCol w:w="553"/>
        <w:gridCol w:w="408"/>
        <w:gridCol w:w="1364"/>
        <w:gridCol w:w="1246"/>
        <w:gridCol w:w="1246"/>
        <w:gridCol w:w="1064"/>
        <w:gridCol w:w="93"/>
        <w:gridCol w:w="45"/>
        <w:gridCol w:w="444"/>
        <w:gridCol w:w="338"/>
        <w:gridCol w:w="502"/>
        <w:gridCol w:w="33"/>
        <w:gridCol w:w="386"/>
        <w:gridCol w:w="929"/>
        <w:gridCol w:w="347"/>
      </w:tblGrid>
      <w:tr w:rsidR="009D5BCC" w:rsidTr="00673991">
        <w:trPr>
          <w:trHeight w:val="1703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7D3149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noProof/>
                <w:lang w:eastAsia="es-MX"/>
              </w:rPr>
              <w:drawing>
                <wp:anchor distT="0" distB="0" distL="114300" distR="114300" simplePos="0" relativeHeight="251660288" behindDoc="0" locked="0" layoutInCell="1" allowOverlap="1" wp14:anchorId="0A4CF628" wp14:editId="458C1FF7">
                  <wp:simplePos x="0" y="0"/>
                  <wp:positionH relativeFrom="margin">
                    <wp:posOffset>272143</wp:posOffset>
                  </wp:positionH>
                  <wp:positionV relativeFrom="page">
                    <wp:posOffset>371475</wp:posOffset>
                  </wp:positionV>
                  <wp:extent cx="1395090" cy="495577"/>
                  <wp:effectExtent l="0" t="0" r="0" b="0"/>
                  <wp:wrapSquare wrapText="bothSides"/>
                  <wp:docPr id="2" name="gráficos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090" cy="4955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es-MX"/>
              </w:rPr>
              <w:drawing>
                <wp:anchor distT="0" distB="0" distL="114300" distR="114300" simplePos="0" relativeHeight="251658240" behindDoc="0" locked="0" layoutInCell="1" allowOverlap="1" wp14:anchorId="2BB332DB" wp14:editId="14B2B329">
                  <wp:simplePos x="0" y="0"/>
                  <wp:positionH relativeFrom="page">
                    <wp:posOffset>4962521</wp:posOffset>
                  </wp:positionH>
                  <wp:positionV relativeFrom="page">
                    <wp:posOffset>392231</wp:posOffset>
                  </wp:positionV>
                  <wp:extent cx="1931761" cy="495577"/>
                  <wp:effectExtent l="0" t="0" r="0" b="0"/>
                  <wp:wrapSquare wrapText="bothSides"/>
                  <wp:docPr id="3" name="gráficos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1761" cy="4955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bookmarkStart w:id="0" w:name="_GoBack"/>
            <w:bookmarkEnd w:id="0"/>
            <w:r w:rsidR="009D5BCC"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65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1678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Carro Rojo con equipo completo para reanimación con D</w:t>
            </w:r>
            <w:r w:rsid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esfibrilador-Monitor</w:t>
            </w:r>
            <w:r w:rsidR="008566D4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 </w:t>
            </w:r>
          </w:p>
          <w:p w:rsidR="004F234E" w:rsidRDefault="00E018D9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>
              <w:rPr>
                <w:rFonts w:ascii="Arial" w:hAnsi="Arial" w:cs="Arial"/>
                <w:caps/>
                <w:sz w:val="18"/>
                <w:szCs w:val="18"/>
                <w:lang w:val="es-ES"/>
              </w:rPr>
              <w:t>Y MARCAPASO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 Definición:     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Carro rodable con sistema de freno para realizar las maniobras de reanimación,  cardioversión y desfibrilación cardiopulmonar. 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 2 Descripción:      2.1 Carro rojo de plástico con desfibrilador de onda bifásica con marcapasos y monitoreo multiparametrico.  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 2.1.1            Carro de Emergencia (incluir marca y modelo).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2.1.1.1         De material plástico o polímero de alto impacto.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2.1.1.2         Dimensiones: longitud entre 78 cm. y 97 cm. ancho entre 55 cm. y 65 cm.  altura entre 90 cm. y 100 cm.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2.1.1.3         Con manubrio para su conducción. 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2.1.1.4         Cuatro ruedas antiestáticas, giratorias, de calidad hospitalaria, de 12.5 cm. de diámetro como mínimo. 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2.1.1.5         Con sistema de frenado en al menos dos ruedas.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2.1.1.6         Superficie para colocar el desfibrilador-monitor.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2.1.1.6.1      Con capacidad de giro.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2.1.1.6.2      Con mecanismo para fijar la posición.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2.1.1.6.3      Con dispositivo para sujeción del desfibrilador.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2.1.1.7         Superficie para la preparación de soluciones.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2.1.1.8         Con cuatro cajones como mínimo: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2.1.1.8.1      Un cajón con divisores de material resistente y desmontables para la clasificación y separación, cuatro divisiones como mínimo. 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2.1.1.9          Sistema de seguridad:  </w:t>
            </w:r>
          </w:p>
          <w:p w:rsidR="00FB1678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2.1.1.9.1       Cerradura general para todos los compartimentos, con sistema de sellos de garantía.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2.1.1.10         Con poste portavenoclisis de altura ajustable e integrado.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2.1.1.11        Tabla para masaje cardiaco con longitud de 50 x 60 cm. como mínimo de material ligero, resistente al impacto, inastillable y lavable, montada al carro.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2.1.1.12 Esquinas del carro redondeadas o bordes lisos.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2.1.1.13 Con sistema de sujeción para tanque de oxígeno tipo E.</w:t>
            </w:r>
            <w:r w:rsidRPr="004F234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 Reanimador pulmonar manual reusable (referir marca y modelo).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2.1.2.1 Desarmable y esterilizable en vapor. 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2.1.2.2 Bolsa de silicón transparente o semitransparente, libre de látex.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2.1.2.3 Auto inflable. 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2.1.2.4 Tamaño adulto: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2.1.2.4.1 Volumen de la bolsa de 1500 ml. como mínimo.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2.1.2.5 Tamaño Pediátrico: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2.1.2.5.1 Volumen de la Bolsa en el rango de 500 ml. a 600 ml.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2.1.2.6 Tamaño neonatal: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2.1.2.6.1 Volumen de la bolsa de 320 ml. como máximo.</w:t>
            </w:r>
            <w:r w:rsidRPr="004F234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2.1.2.7 Mascarillas reusables.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2.1.2.7.1 Tamaño adulto, pediátrico y neonatal, esterilizables en vapor.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2.1.2.7.2 Rotación de 360° entre la mascarilla y la válvula hacia el paciente.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2.1.2.8 Válvula de no re inhalación de baja resistencia espiratoria.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2.1.2.9 Válvula de seguridad que limite la presión en vías respiratorias a 40 +/- 5cm. De H2O.   2.1.2.10 Conexión para oxigeno suplementario. 2.1.3 Equipo de intubación orotraqueal. (Referir Marca y Modelo)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2.1.3.1 Mango: 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2.1.3.1.1 Hecho de metal y que no cause corrosión.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2.1.3.1.2 Acabado acanalado o rugoso.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lastRenderedPageBreak/>
              <w:t xml:space="preserve">2.1.3.1.3 Compatible con todos los modelos de hojas.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2.1.3.2 Batería recargable a la corriente de forma directa o con cargador. Cargador de la misma marca de equipo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2.1.3.3 Iluminación de xenón o LED a través de fibra óptica de 2.5 volts como mínimo.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2.1.3.4 Hojas de laringoscopio: 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2.1.3.4.1 De acero inoxidable.  </w:t>
            </w:r>
          </w:p>
          <w:p w:rsidR="00FB1678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2.1.3.4.2 Rectas (Miller) de la misma marca que el mango, juego de 6 piezas de los números 00</w:t>
            </w:r>
            <w:proofErr w:type="gramStart"/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,0,1,2,3</w:t>
            </w:r>
            <w:proofErr w:type="gramEnd"/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 y 4.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2.1.3.4.3 Curvas de la misma marca que el mango, juego de 4 piezas de los números 1</w:t>
            </w:r>
            <w:proofErr w:type="gramStart"/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,2,3</w:t>
            </w:r>
            <w:proofErr w:type="gramEnd"/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 y 4.  2.1.3.5 Estuche para guarda de mangos y hojas.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2.1.4 Tanque de oxígeno tipo "E" con manómetro válvula reguladora.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   Desfibrilador.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1.1. Para desfibrilación manual y modo semiautomático (modo DEA), cardioversión y monitoreo  continuo integrado.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1.2. Con perilla selectora de nivel de energía para bifásica desde 2 a 270 J. </w:t>
            </w:r>
          </w:p>
          <w:p w:rsidR="00FB1678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1.3. Capacidad de autodescarga  cuando no se utilice en un plazo configurable entre 30, 40, 50 y 60 segundos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1.4. Con sistema para probar energía de descarga.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1.5. Tiempo de carga de 4 segundos o menor para energía de 200 J. </w:t>
            </w:r>
          </w:p>
          <w:p w:rsidR="00FB1678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1.6. Con selector de modo: cardioversión, desfibrilación, marcapasos y modo semiautomático (modo DEA).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1.7. Modo semiautomático (Modo DEA) con guía de voz.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1.8. Modo DEA adulto y pediátrico.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1.9. Cable para uso de electrodos de desfibrilación y/o marcapasos. </w:t>
            </w:r>
          </w:p>
          <w:p w:rsidR="00044D1E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1.10. Grabación del sonido ambiente y ondas de ECG en tarjeta SD.</w:t>
            </w:r>
            <w:r w:rsidR="00044D1E"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ab/>
            </w:r>
            <w:r w:rsidR="00044D1E"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ab/>
            </w:r>
          </w:p>
          <w:p w:rsidR="004C0643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 Marcapasos transcutáneo. </w:t>
            </w:r>
          </w:p>
          <w:p w:rsidR="004C0643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 Interconstruído usando electrodos autoadheribles. </w:t>
            </w:r>
          </w:p>
          <w:p w:rsidR="004C0643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2.2. Amplitud de pulso seleccionable en un rango de 8 mA o menor a 200 mA o mayor. </w:t>
            </w:r>
          </w:p>
          <w:p w:rsidR="004C0643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2.3. Duración de pulso de 40 milisegundos o menor. </w:t>
            </w:r>
          </w:p>
          <w:p w:rsidR="009D5BCC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2.4. Frecuencia de marcapasos ajustable en el rango de 30 pulsos por minuto o menor a 180 pulsos por minuto o mayor</w:t>
            </w:r>
          </w:p>
          <w:p w:rsidR="004C0643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2.5. Activación por modos: fijo (o asincrónico) y a demanda (o sincrónico). </w:t>
            </w:r>
          </w:p>
          <w:p w:rsidR="00FB1678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2.6. Despliegue de parámetros en pantalla.</w:t>
            </w:r>
          </w:p>
          <w:p w:rsidR="004C0643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3. Monitor. </w:t>
            </w:r>
          </w:p>
          <w:p w:rsidR="004C0643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3.1. Pantalla LCD a color de 6.5 pulgadas como mínimo.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3.2. Con despliegue numérico y de onda de los siguientes parámetros: frecuencia cardiaca, de ECG como mínimo a seleccionar entre 9 derivaciones: (DI, DII, DIII, aVR, aVL, aVF, Va, Vb y PALAS).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3.3. Despliegues en pantalla y panel de control en idioma español.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3.4. Despliegue de 4 ondas simultáneamente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3.5. Despliegue de ventana GUÍA que muestre medidas de corrección a seguir en  caso de alarma técnica mediante instrucciones y figuras.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4. Palas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4.1. Para excitación externa, convertibles adulto/pediátricas que detecten actividad electrocardiográfica.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4.2. Con descarga desde las palas y desde el panel de control.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4.3. Botón de carga desde las palas y desde el panes de control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4.4. Con posibilidad de uso de electrodos o almohadillas para desfibrilación.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5. Parches </w:t>
            </w:r>
          </w:p>
          <w:p w:rsidR="00FB1678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lastRenderedPageBreak/>
              <w:t>5.1. Desechables para excitación externa, adulto/pediátricos que detecten actividad electrocardiográfica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6. Alarmas audibles y visibles.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6.1. Seleccionables por el usuario, para alteraciones en la frecuencia cardiaca y SpO2.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6.2. De desconexión del paciente. </w:t>
            </w:r>
          </w:p>
          <w:p w:rsidR="00FB1678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6.3. Del nivel de carga de la batería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 Sistema de registro.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7.1. Impresión integrada.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7.2. Con capacidad de imprimir trazo de ECG e información relativa al evento registrado. 7.3. Modo de operación manual y/o automático seleccionable por el usuario.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7.4. Dos canales como mínimo.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8. SpO2.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8.1. Porcentaje numérico de SpO2 desplegado en pantalla y curva de pletismografía y/o  barra de pulso y frecuencia de pulso.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8.2. Cable troncal y sensor reusable de dedo adulto/pediátrico sumergible en agua </w:t>
            </w:r>
          </w:p>
          <w:p w:rsidR="00FB1678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8.3. Alarmas visibles y audibles, seleccionables por el usuario, para alteraciones en el porcentaje de SpO2.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9. Capacidad a futuro de medición de capnografía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9.1. Despliegue gráfico y numérico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10. Capacidad a futuro de medición de presión no invasiva*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11. Batería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11.1. Recargable e integrada.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11.2. Carga de la batería mientras el equipo se encuentra conectado a la corriente alterna.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11.3. Que permita dar al menos 100 desfibrilaciones a carga máxima o 3 horas de monitoreo continuo como mínimo.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11.4. Tiempo de carga máximo de 3 horas.</w:t>
            </w:r>
            <w:r w:rsidRPr="004F234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B1678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12. Cable de paciente de 6 puntas.</w:t>
            </w:r>
          </w:p>
          <w:p w:rsidR="00FB1678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13. ASA SUPERIOR PARA TRANSPORTE DEL EQUIPO.</w:t>
            </w:r>
          </w:p>
          <w:p w:rsidR="004C0643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14. Peso máximo del equipo 7 kg.</w:t>
            </w:r>
          </w:p>
          <w:p w:rsidR="004F234E" w:rsidRPr="004F234E" w:rsidRDefault="004F234E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 Accesorios:     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3.1 Para oximetría de pulso: Cable troncal y sensor reusable de dedo adulto/pediátrico y multisitio.   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3.2 Cable para uso de electrodos de desfibrilación y/o marcapasos compatible con el equipo. (incluir marca y modelo). 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3.3 Cable para paciente de 5 puntas como mínimo</w:t>
            </w:r>
            <w:proofErr w:type="gramStart"/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..</w:t>
            </w:r>
            <w:proofErr w:type="gramEnd"/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3.4 Brazalete reusable para medición de la presión no invasiva, uno adulto y uno pediátrico, con manguera y conector para los brazaletes. </w:t>
            </w:r>
          </w:p>
          <w:p w:rsidR="004F234E" w:rsidRPr="004F234E" w:rsidRDefault="004F234E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3.5 Equipo para intubacion con visualizador de videocamara.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1. Video-monitor con una micro cámara integrada y que permita la incorporación de un dispositivo  Supraglótico de tipo Video Mascara Laríngea con pala rígida con las siguientes características: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 Que sea un dispositivo fácil de usar, controlable por un solo operador.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3. Que el sistema óptico cuente con sistema anti empañamiento.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4. Cuente con un conector para salida de video a un monitor secundario.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5. Incluya una ranura para tarjeta SD que permita grabar y guardar videos.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lastRenderedPageBreak/>
              <w:t xml:space="preserve">6. Sistema de iluminación de la cámara LED. 7. Que el sistema </w:t>
            </w:r>
            <w:r w:rsidR="004F234E"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incluya como kit de inicio con  video mascara laríngea ( del número 4 </w:t>
            </w: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) Con las siguientes características: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7.1. Mascara con mango o globo de alto volumen y baja presión fabricada de silicón grado médico y libre de látex.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7.2. Con una bolsa para contener el extremo distal de la pala rígida.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7.3. Que la máscara cuente con una protuberancia lateral y otra posterior para dirigir el ETT hacia el centro de las cuerdas vocales.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7.4. Cuente con un canal que permita la aspiración de secreciones en la máscara. </w:t>
            </w:r>
          </w:p>
          <w:p w:rsidR="004C0643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7.5. Cuente con un canal que permita la aspiración gástrica y la introducción de una sonda gastrica </w:t>
            </w:r>
          </w:p>
          <w:p w:rsidR="004F234E" w:rsidRPr="004F234E" w:rsidRDefault="004C0643" w:rsidP="004C0643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7.6. Que incorpore un canal por el que se puedan introducir tubos endotraqueales (ETT) convencionales, de PVC o silicona de tamaño hasta 8.5. </w:t>
            </w:r>
          </w:p>
          <w:p w:rsidR="004F234E" w:rsidRPr="004F234E" w:rsidRDefault="004C0643" w:rsidP="004C0643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7.7. Que incluya una pala rígida de video laringoscopio con ángulo de 90 grados en su extremo distal y uno de 25 grados en su extremo proximal. </w:t>
            </w:r>
          </w:p>
          <w:p w:rsidR="004F234E" w:rsidRPr="004F234E" w:rsidRDefault="004C0643" w:rsidP="004C0643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7.8. Cuente con una caja de baterías con capacidad de uso continuo de 45 minutos. </w:t>
            </w:r>
          </w:p>
          <w:p w:rsidR="004F234E" w:rsidRPr="004F234E" w:rsidRDefault="004C0643" w:rsidP="004C0643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7.9. Incluya un conector en “T” que permita la introducción de dispositivos auxiliares como una guía tipo bougie o equipos de fibroscopio. </w:t>
            </w:r>
          </w:p>
          <w:p w:rsidR="004C0643" w:rsidRPr="004F234E" w:rsidRDefault="004C0643" w:rsidP="004C0643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8. Sistema para ser utilizado en las diferentes áreas hospitalarias y pre-hospitalarias por personal médico y paramédico, especialmente las áreas críticas como son quirófano, Unidad de Cuidados </w:t>
            </w:r>
          </w:p>
          <w:p w:rsidR="004C0643" w:rsidRPr="004F234E" w:rsidRDefault="004C0643" w:rsidP="004C0643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 intensivos y servicio de Urgencias, así como en las ambulancias tanto terrestres como aéreas.</w:t>
            </w:r>
          </w:p>
          <w:p w:rsidR="004F234E" w:rsidRPr="004F234E" w:rsidRDefault="004F234E" w:rsidP="004C0643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4 Consumibles:     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4.1 Electrodos para monitoreo de ECG (100 piezas) 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4.2 Electrodos auto adheribles trasncutaneos para desfibrilación y/o marcapasos tamaño adulto o pediátrico, a elección de la unidad médica al menos 1 pieza (referir marca y modelo).   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4.3 Pasta conductora al menos dos tubos. 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4.4 Papel para impresión al menos dos rollos. 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4.5 Al menos una bolsa con 100 sellos de garantía.  </w:t>
            </w:r>
          </w:p>
          <w:p w:rsidR="004C0643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4.6 Al menos dos focos para laringoscopio.</w:t>
            </w:r>
          </w:p>
          <w:p w:rsidR="002648B7" w:rsidRDefault="002648B7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</w:p>
          <w:p w:rsidR="002648B7" w:rsidRPr="004F234E" w:rsidRDefault="002648B7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2648B7">
              <w:rPr>
                <w:rFonts w:ascii="Arial" w:hAnsi="Arial" w:cs="Arial"/>
                <w:caps/>
                <w:sz w:val="18"/>
                <w:szCs w:val="18"/>
                <w:lang w:val="es-ES"/>
              </w:rPr>
              <w:t>REFACCIONES: Según marca y modelo. INSTALACIÓN: Corriente eléctrica 120 V 60 Hz. OPERACIÓN: Por personal especializado y de acuerdo al manual de operación. MANTENIMIENTO: Preventivo y correctivo por personal calificado.</w:t>
            </w:r>
          </w:p>
          <w:p w:rsidR="00FB1678" w:rsidRPr="000F0F1B" w:rsidRDefault="00FB1678" w:rsidP="000F0F1B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</w:p>
        </w:tc>
        <w:tc>
          <w:tcPr>
            <w:tcW w:w="347" w:type="dxa"/>
          </w:tcPr>
          <w:p w:rsidR="009D5BCC" w:rsidRDefault="009D5BCC">
            <w:pPr>
              <w:suppressAutoHyphens w:val="0"/>
            </w:pPr>
          </w:p>
        </w:tc>
      </w:tr>
      <w:tr w:rsidR="009D5BCC" w:rsidTr="00673991">
        <w:trPr>
          <w:gridAfter w:val="1"/>
          <w:wAfter w:w="347" w:type="dxa"/>
          <w:trHeight w:val="50"/>
        </w:trPr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lastRenderedPageBreak/>
              <w:t>Accesorios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80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</w:tr>
      <w:tr w:rsidR="009D5BCC" w:rsidTr="00673991">
        <w:trPr>
          <w:gridAfter w:val="1"/>
          <w:wAfter w:w="347" w:type="dxa"/>
          <w:trHeight w:val="50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0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F1B" w:rsidRPr="00082B1C" w:rsidRDefault="000F0F1B" w:rsidP="000F0F1B">
            <w:pPr>
              <w:pStyle w:val="Standard"/>
              <w:snapToGrid w:val="0"/>
              <w:spacing w:after="0"/>
              <w:rPr>
                <w:rFonts w:cs="Arial"/>
                <w:sz w:val="16"/>
                <w:szCs w:val="20"/>
                <w:lang w:val="es-ES"/>
              </w:rPr>
            </w:pPr>
          </w:p>
        </w:tc>
      </w:tr>
      <w:tr w:rsidR="009D5BCC" w:rsidTr="00673991">
        <w:trPr>
          <w:gridAfter w:val="1"/>
          <w:wAfter w:w="347" w:type="dxa"/>
          <w:trHeight w:val="50"/>
        </w:trPr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53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  <w:tc>
          <w:tcPr>
            <w:tcW w:w="27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Nivel de atención</w:t>
            </w:r>
          </w:p>
        </w:tc>
      </w:tr>
      <w:tr w:rsidR="009D5BCC" w:rsidTr="00673991">
        <w:trPr>
          <w:gridAfter w:val="1"/>
          <w:wAfter w:w="347" w:type="dxa"/>
          <w:trHeight w:val="244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53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strike/>
                <w:sz w:val="16"/>
                <w:szCs w:val="16"/>
                <w:lang w:val="es-ES"/>
              </w:rPr>
            </w:pPr>
            <w:r>
              <w:rPr>
                <w:b/>
                <w:strike/>
                <w:sz w:val="16"/>
                <w:szCs w:val="16"/>
                <w:lang w:val="es-ES"/>
              </w:rPr>
              <w:t>Primer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Segundo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Tercer</w:t>
            </w:r>
          </w:p>
        </w:tc>
      </w:tr>
      <w:tr w:rsidR="009D5BCC" w:rsidTr="00673991">
        <w:trPr>
          <w:gridAfter w:val="1"/>
          <w:wAfter w:w="347" w:type="dxa"/>
          <w:trHeight w:val="331"/>
        </w:trPr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65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del registro sanitario vigente o justificación sustentada del licitante en caso de que no aplique</w:t>
            </w:r>
          </w:p>
        </w:tc>
      </w:tr>
      <w:tr w:rsidR="009D5BCC" w:rsidTr="00673991">
        <w:trPr>
          <w:gridAfter w:val="1"/>
          <w:wAfter w:w="347" w:type="dxa"/>
          <w:trHeight w:val="57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865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Original de catálogos, folletos, manuales, guías u otro necesario para indicar las referencias técnicas solicitadas</w:t>
            </w:r>
          </w:p>
        </w:tc>
      </w:tr>
      <w:tr w:rsidR="009D5BCC" w:rsidTr="00673991">
        <w:trPr>
          <w:gridAfter w:val="1"/>
          <w:wAfter w:w="347" w:type="dxa"/>
          <w:trHeight w:val="57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6463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para garantía de los bienes del distribuidor y/o fabricante  por lo menos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</w:t>
            </w:r>
          </w:p>
        </w:tc>
        <w:tc>
          <w:tcPr>
            <w:tcW w:w="13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años.</w:t>
            </w:r>
          </w:p>
        </w:tc>
      </w:tr>
      <w:tr w:rsidR="009D5BCC" w:rsidTr="00673991">
        <w:trPr>
          <w:gridAfter w:val="1"/>
          <w:wAfter w:w="347" w:type="dxa"/>
          <w:trHeight w:val="57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865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9D5BCC" w:rsidTr="00673991">
        <w:trPr>
          <w:gridAfter w:val="1"/>
          <w:wAfter w:w="347" w:type="dxa"/>
          <w:trHeight w:val="56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nacional</w:t>
            </w:r>
          </w:p>
        </w:tc>
        <w:tc>
          <w:tcPr>
            <w:tcW w:w="76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carta de buenas prácticas de fabricación COFEPRIS y/o ISO 9001:2008  y 13485:2003 del fabricante incluyendo el alcance del bien ofertado</w:t>
            </w:r>
          </w:p>
        </w:tc>
      </w:tr>
      <w:tr w:rsidR="009D5BCC" w:rsidTr="00673991">
        <w:trPr>
          <w:gridAfter w:val="1"/>
          <w:wAfter w:w="347" w:type="dxa"/>
          <w:trHeight w:val="75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76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 Carta de apoyo del distribuidor princ</w:t>
            </w:r>
            <w:r>
              <w:rPr>
                <w:sz w:val="16"/>
                <w:szCs w:val="16"/>
                <w:lang w:val="es-ES"/>
              </w:rPr>
              <w:t>i</w:t>
            </w:r>
            <w:r>
              <w:rPr>
                <w:sz w:val="16"/>
                <w:szCs w:val="16"/>
                <w:lang w:val="es-ES"/>
              </w:rPr>
              <w:t>pal y copia de la carta de distribución del fabricante vigente.</w:t>
            </w:r>
          </w:p>
        </w:tc>
      </w:tr>
      <w:tr w:rsidR="009D5BCC" w:rsidTr="00673991">
        <w:trPr>
          <w:gridAfter w:val="1"/>
          <w:wAfter w:w="347" w:type="dxa"/>
          <w:trHeight w:val="75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50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9D5BCC" w:rsidTr="00673991">
        <w:trPr>
          <w:gridAfter w:val="1"/>
          <w:wAfter w:w="347" w:type="dxa"/>
          <w:trHeight w:val="75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extranjero</w:t>
            </w:r>
          </w:p>
        </w:tc>
        <w:tc>
          <w:tcPr>
            <w:tcW w:w="76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certificado ISO 9001:2008  y 13485:2003 del fabricante incluyendo el alcance del bien ofertado</w:t>
            </w:r>
          </w:p>
        </w:tc>
      </w:tr>
      <w:tr w:rsidR="009D5BCC" w:rsidTr="00673991">
        <w:trPr>
          <w:gridAfter w:val="1"/>
          <w:wAfter w:w="347" w:type="dxa"/>
          <w:trHeight w:val="75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76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CC" w:rsidRDefault="00044D1E" w:rsidP="00044D1E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Carta original de apoyo  del fabricante </w:t>
            </w:r>
          </w:p>
          <w:p w:rsidR="00044D1E" w:rsidRDefault="00044D1E" w:rsidP="00044D1E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 de Origen.</w:t>
            </w:r>
          </w:p>
        </w:tc>
      </w:tr>
      <w:tr w:rsidR="009D5BCC" w:rsidTr="00673991">
        <w:trPr>
          <w:gridAfter w:val="1"/>
          <w:wAfter w:w="347" w:type="dxa"/>
          <w:trHeight w:val="145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50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9D5BCC" w:rsidTr="00673991">
        <w:trPr>
          <w:gridAfter w:val="1"/>
          <w:wAfter w:w="347" w:type="dxa"/>
          <w:trHeight w:val="145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76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Certificados de calidad </w:t>
            </w:r>
            <w:proofErr w:type="spellStart"/>
            <w:r>
              <w:rPr>
                <w:sz w:val="16"/>
                <w:szCs w:val="16"/>
                <w:lang w:val="es-ES"/>
              </w:rPr>
              <w:t>opcionales:</w:t>
            </w:r>
            <w:r w:rsidR="00690568">
              <w:rPr>
                <w:sz w:val="16"/>
                <w:szCs w:val="16"/>
                <w:lang w:val="es-ES"/>
              </w:rPr>
              <w:t>FDA</w:t>
            </w:r>
            <w:proofErr w:type="spellEnd"/>
            <w:r w:rsidR="00690568">
              <w:rPr>
                <w:sz w:val="16"/>
                <w:szCs w:val="16"/>
                <w:lang w:val="es-ES"/>
              </w:rPr>
              <w:t>, JIS, CE</w:t>
            </w:r>
          </w:p>
        </w:tc>
      </w:tr>
      <w:tr w:rsidR="009D5BCC" w:rsidTr="00673991">
        <w:trPr>
          <w:gridAfter w:val="1"/>
          <w:wAfter w:w="347" w:type="dxa"/>
          <w:trHeight w:val="145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38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</w:tbl>
    <w:p w:rsidR="00DB7203" w:rsidRDefault="00DB7203" w:rsidP="00044D1E">
      <w:pPr>
        <w:pStyle w:val="Standard"/>
        <w:spacing w:after="0" w:line="240" w:lineRule="auto"/>
        <w:jc w:val="both"/>
      </w:pPr>
    </w:p>
    <w:sectPr w:rsidR="00DB7203">
      <w:headerReference w:type="default" r:id="rId10"/>
      <w:footerReference w:type="default" r:id="rId11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D63" w:rsidRDefault="00843D63">
      <w:r>
        <w:separator/>
      </w:r>
    </w:p>
  </w:endnote>
  <w:endnote w:type="continuationSeparator" w:id="0">
    <w:p w:rsidR="00843D63" w:rsidRDefault="00843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1E3" w:rsidRDefault="007D3149">
    <w:pPr>
      <w:pStyle w:val="Piedepgina"/>
    </w:pPr>
    <w:r>
      <w:rPr>
        <w:noProof/>
        <w:lang w:eastAsia="es-MX"/>
      </w:rPr>
      <w:drawing>
        <wp:inline distT="0" distB="0" distL="0" distR="0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D63" w:rsidRDefault="00843D63">
      <w:r>
        <w:rPr>
          <w:color w:val="000000"/>
        </w:rPr>
        <w:separator/>
      </w:r>
    </w:p>
  </w:footnote>
  <w:footnote w:type="continuationSeparator" w:id="0">
    <w:p w:rsidR="00843D63" w:rsidRDefault="00843D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E441E3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7D3149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  O.P.D. SERVICIOS DE SALUD JALISCO</w:t>
          </w:r>
        </w:p>
        <w:p w:rsidR="00E441E3" w:rsidRDefault="00843D63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E441E3" w:rsidRDefault="00843D63">
          <w:pPr>
            <w:pStyle w:val="Standard"/>
            <w:snapToGrid w:val="0"/>
            <w:rPr>
              <w:sz w:val="16"/>
            </w:rPr>
          </w:pPr>
        </w:p>
      </w:tc>
    </w:tr>
    <w:tr w:rsidR="00E441E3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673991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7D3149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7D3149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7D3149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2018: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843D63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843D63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843D63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E441E3" w:rsidRDefault="00843D63">
          <w:pPr>
            <w:pStyle w:val="Standard"/>
            <w:snapToGrid w:val="0"/>
            <w:rPr>
              <w:b/>
            </w:rPr>
          </w:pPr>
        </w:p>
      </w:tc>
    </w:tr>
    <w:tr w:rsidR="00E441E3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9D5BCC" w:rsidRDefault="00FB1678" w:rsidP="00982058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  <w:sz w:val="18"/>
            </w:rPr>
            <w:t xml:space="preserve">CARRO ROJO CON EQUIPO COMPLETO PARA REANIMACION  CON DESFIBRILADOR  MONITOR </w:t>
          </w:r>
          <w:r w:rsidR="00E018D9">
            <w:rPr>
              <w:b/>
              <w:sz w:val="18"/>
            </w:rPr>
            <w:t>-MARCAPASO</w:t>
          </w:r>
        </w:p>
      </w:tc>
    </w:tr>
  </w:tbl>
  <w:p w:rsidR="00E441E3" w:rsidRDefault="00843D63">
    <w:pPr>
      <w:pStyle w:val="Heading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203"/>
    <w:rsid w:val="00044D1E"/>
    <w:rsid w:val="000665B2"/>
    <w:rsid w:val="00082B1C"/>
    <w:rsid w:val="000C65B7"/>
    <w:rsid w:val="000F0F1B"/>
    <w:rsid w:val="00192776"/>
    <w:rsid w:val="001E131B"/>
    <w:rsid w:val="002648B7"/>
    <w:rsid w:val="003028A9"/>
    <w:rsid w:val="003036B1"/>
    <w:rsid w:val="00352C2C"/>
    <w:rsid w:val="00470A11"/>
    <w:rsid w:val="004C0643"/>
    <w:rsid w:val="004E4122"/>
    <w:rsid w:val="004F234E"/>
    <w:rsid w:val="00566E5E"/>
    <w:rsid w:val="005A58E3"/>
    <w:rsid w:val="005C086B"/>
    <w:rsid w:val="00622DD4"/>
    <w:rsid w:val="006506D8"/>
    <w:rsid w:val="00673991"/>
    <w:rsid w:val="00690568"/>
    <w:rsid w:val="007A7EAF"/>
    <w:rsid w:val="007D3149"/>
    <w:rsid w:val="007F731E"/>
    <w:rsid w:val="00804BD7"/>
    <w:rsid w:val="00831B7C"/>
    <w:rsid w:val="00843D63"/>
    <w:rsid w:val="00853AA0"/>
    <w:rsid w:val="008566D4"/>
    <w:rsid w:val="00924498"/>
    <w:rsid w:val="00982058"/>
    <w:rsid w:val="009B6CF4"/>
    <w:rsid w:val="009C753E"/>
    <w:rsid w:val="009D3B8C"/>
    <w:rsid w:val="009D5BCC"/>
    <w:rsid w:val="009F5AFD"/>
    <w:rsid w:val="00A44CE2"/>
    <w:rsid w:val="00AE7D00"/>
    <w:rsid w:val="00B034FA"/>
    <w:rsid w:val="00B407A6"/>
    <w:rsid w:val="00B71289"/>
    <w:rsid w:val="00C061D4"/>
    <w:rsid w:val="00C63BC7"/>
    <w:rsid w:val="00DA4B5B"/>
    <w:rsid w:val="00DB7203"/>
    <w:rsid w:val="00E018D9"/>
    <w:rsid w:val="00E41477"/>
    <w:rsid w:val="00FB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customStyle="1" w:styleId="Epgrafe1">
    <w:name w:val="Epígrafe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customStyle="1" w:styleId="Epgrafe1">
    <w:name w:val="Epígrafe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E5E04-E9AD-4BBE-8515-C5B4E77A0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1784</Words>
  <Characters>9817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4</cp:revision>
  <cp:lastPrinted>2019-05-08T21:58:00Z</cp:lastPrinted>
  <dcterms:created xsi:type="dcterms:W3CDTF">2019-05-19T20:18:00Z</dcterms:created>
  <dcterms:modified xsi:type="dcterms:W3CDTF">2019-05-20T21:23:00Z</dcterms:modified>
</cp:coreProperties>
</file>