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97" w:type="dxa"/>
        <w:tblInd w:w="-1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99"/>
        <w:gridCol w:w="553"/>
        <w:gridCol w:w="408"/>
        <w:gridCol w:w="1364"/>
        <w:gridCol w:w="1246"/>
        <w:gridCol w:w="1246"/>
        <w:gridCol w:w="1064"/>
        <w:gridCol w:w="93"/>
        <w:gridCol w:w="45"/>
        <w:gridCol w:w="444"/>
        <w:gridCol w:w="338"/>
        <w:gridCol w:w="502"/>
        <w:gridCol w:w="33"/>
        <w:gridCol w:w="386"/>
        <w:gridCol w:w="929"/>
        <w:gridCol w:w="347"/>
      </w:tblGrid>
      <w:tr w:rsidR="009D5BCC" w:rsidTr="009124E5">
        <w:trPr>
          <w:trHeight w:val="1703"/>
        </w:trPr>
        <w:tc>
          <w:tcPr>
            <w:tcW w:w="1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7D3149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noProof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277E492C" wp14:editId="32C9E943">
                  <wp:simplePos x="0" y="0"/>
                  <wp:positionH relativeFrom="margin">
                    <wp:posOffset>272143</wp:posOffset>
                  </wp:positionH>
                  <wp:positionV relativeFrom="page">
                    <wp:posOffset>371475</wp:posOffset>
                  </wp:positionV>
                  <wp:extent cx="1395090" cy="495577"/>
                  <wp:effectExtent l="0" t="0" r="0" b="0"/>
                  <wp:wrapSquare wrapText="bothSides"/>
                  <wp:docPr id="2" name="gráficos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5090" cy="495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es-MX"/>
              </w:rPr>
              <w:drawing>
                <wp:anchor distT="0" distB="0" distL="114300" distR="114300" simplePos="0" relativeHeight="251658240" behindDoc="0" locked="0" layoutInCell="1" allowOverlap="1" wp14:anchorId="070685BC" wp14:editId="20454156">
                  <wp:simplePos x="0" y="0"/>
                  <wp:positionH relativeFrom="page">
                    <wp:posOffset>4962521</wp:posOffset>
                  </wp:positionH>
                  <wp:positionV relativeFrom="page">
                    <wp:posOffset>392231</wp:posOffset>
                  </wp:positionV>
                  <wp:extent cx="1931761" cy="495577"/>
                  <wp:effectExtent l="0" t="0" r="0" b="0"/>
                  <wp:wrapSquare wrapText="bothSides"/>
                  <wp:docPr id="3" name="gráficos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31761" cy="49557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  <w:bookmarkStart w:id="0" w:name="_GoBack"/>
            <w:bookmarkEnd w:id="0"/>
            <w:r w:rsidR="009D5BCC">
              <w:rPr>
                <w:b/>
                <w:sz w:val="16"/>
                <w:szCs w:val="16"/>
                <w:lang w:val="es-ES"/>
              </w:rPr>
              <w:t>Descripción Técnica:</w:t>
            </w: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Carro Rojo con equipo completo para reanimación con D</w:t>
            </w:r>
            <w:r w:rsid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esfibrilador-Monitor</w:t>
            </w:r>
            <w:r w:rsidR="008566D4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</w:t>
            </w:r>
          </w:p>
          <w:p w:rsidR="004F234E" w:rsidRDefault="004F234E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 Definición:    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Carro rodable con sistema de freno para realizar las maniobras de reanimación,  cardioversión y desfibrilación cardiopulmonar.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2 Descripción:      2.1 Carro rojo de plástico con desfibrilador de onda bifásica con marcapasos y monitoreo multiparametrico. 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2.1.1            Carro de Emergencia (incluir marca y modelo).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         De material plástico o polímero de alto impacto.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2.1.1.2         Dimensiones: longitud entre 78 cm. y 97 cm. ancho entre 55 cm. y 65 cm.  altura entre 90 cm. y 100 cm.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2.1.1.3         Con manubrio para su conducción.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2.1.1.4         Cuatro ruedas antiestáticas, giratorias, de calidad hospitalaria, de 12.5 cm. de diámetro como mínimo.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2.1.1.5         Con sistema de frenado en al menos dos ruedas.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         Superficie para colocar el desfibrilador-monitor.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2.1.1.6.1      Con capacidad de giro.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2.1.1.6.2      Con mecanismo para fijar la posición.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2.1.1.6.3      Con dispositivo para sujeción del desfibrilador.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2.1.1.7         Superficie para la preparación de soluciones.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2.1.1.8         Con cuatro cajones como mínimo: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2.1.1.8.1      Un cajón con divisores de material resistente y desmontables para la clasificación y separación, cuatro divisiones como mínimo.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2.1.1.9          Sistema de seguridad: 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2.1.1.9.1       Cerradura general para todos los compartimentos, con sistema de sellos de garantía.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2.1.1.10         Con poste portavenoclisis de altura ajustable e integrado.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2.1.1.11        Tabla para masaje cardiaco con longitud de 50 x 60 cm. como mínimo de material ligero, resistente al impacto, inastillable y lavable, montada al carro.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2.1.1.12 Esquinas del carro redondeadas o bordes lisos.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2.1.1.13 Con sistema de sujeción para tanque de oxígeno tipo E.</w:t>
            </w:r>
            <w:r w:rsidRPr="004F234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 Reanimador pulmonar manual reusable (referir marca y modelo).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2.1.2.1 Desarmable y esterilizable en vapor.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2.1.2.2 Bolsa de silicón transparente o semitransparente, libre de látex.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2.1.2.3 Auto inflable.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2.1.2.4 Tamaño adulto: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2.1.2.4.1 Volumen de la bolsa de 1500 ml. como mínimo.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2.1.2.5 Tamaño Pediátrico: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2.1.2.5.1 Volumen de la Bolsa en el rango de 500 ml. a 600 ml.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2.1.2.6 Tamaño neonatal: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2.1.2.6.1 Volumen de la bolsa de 320 ml. como máximo.</w:t>
            </w:r>
            <w:r w:rsidRPr="004F234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2.1.2.7 Mascarillas reusables.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2.1.2.7.1 Tamaño adulto, pediátrico y neonatal, esterilizables en vapor.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2.1.2.7.2 Rotación de 360° entre la mascarilla y la válvula hacia el paciente.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2.1.2.8 Válvula de no re inhalación de baja resistencia espiratoria.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2.1.2.9 Válvula de seguridad que limite la presión en vías respiratorias a 40 +/- 5cm. De H2O.   2.1.2.10 Conexión para oxigeno suplementario. 2.1.3 Equipo de intubación orotraqueal. (Referir Marca y Modelo)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2.1.3.1 Mango: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2.1.3.1.1 Hecho de metal y que no cause corrosión.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2.1.3.1.2 Acabado acanalado o rugoso.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lastRenderedPageBreak/>
              <w:t xml:space="preserve">2.1.3.1.3 Compatible con todos los modelos de hojas.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2.1.3.2 Batería recargable a la corriente de forma directa o con cargador. Cargador de la misma marca de equipo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2.1.3.3 Iluminación de xenón o LED a través de fibra óptica de 2.5 volts como mínimo.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2.1.3.4 Hojas de laringoscopio: 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2.1.3.4.1 De acero inoxidable. 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2.1.3.4.2 Rectas (Miller) de la misma marca que el mango, juego de 6 piezas de los números 00</w:t>
            </w:r>
            <w:proofErr w:type="gramStart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,0,1,2,3</w:t>
            </w:r>
            <w:proofErr w:type="gramEnd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y 4.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2.1.3.4.3 Curvas de la misma marca que el mango, juego de 4 piezas de los números 1</w:t>
            </w:r>
            <w:proofErr w:type="gramStart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,2,3</w:t>
            </w:r>
            <w:proofErr w:type="gramEnd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y 4.  2.1.3.5 Estuche para guarda de mangos y hojas. 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2.1.4 Tanque de oxígeno tipo "E" con manómetro válvula reguladora.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   Desfibrilador.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1.1. Para desfibrilación manual y modo semiautomático (modo DEA), cardioversión y monitoreo  continuo integrado.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1.2. Con perilla selectora de nivel de energía para bifásica desde 2 a 270 J.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1.3. Capacidad de autodescarga  cuando no se utilice en un plazo configurable entre 30, 40, 50 y 60 segundos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1.4. Con sistema para probar energía de descarga.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1.5. Tiempo de carga de 4 segundos o menor para energía de 200 J. </w:t>
            </w:r>
          </w:p>
          <w:p w:rsidR="00FB1678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1.6. Con selector de modo: cardioversión, desfibrilación, marcapasos y modo semiautomático (modo DEA).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1.7. Modo semiautomático (Modo DEA) con guía de voz.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1.8. Modo DEA adulto y pediátrico. </w:t>
            </w:r>
          </w:p>
          <w:p w:rsidR="004C0643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1.9. Cable para uso de electrodos de desfibrilación y/o marcapasos. </w:t>
            </w:r>
          </w:p>
          <w:p w:rsidR="00044D1E" w:rsidRPr="004F234E" w:rsidRDefault="00FB1678" w:rsidP="00FB1678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1.10. Grabación del sonido ambiente y ondas de ECG en tarjeta SD.</w:t>
            </w:r>
            <w:r w:rsidR="00044D1E"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ab/>
            </w:r>
            <w:r w:rsidR="00044D1E"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ab/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 Marcapasos transcutáneo.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2.1. Interconstruído usando electrodos autoadheribles.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2.2. Amplitud de pulso seleccionable en un rango de 8 mA o menor a 200 mA o mayor.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2.3. Duración de pulso de 40 milisegundos o menor. </w:t>
            </w:r>
          </w:p>
          <w:p w:rsidR="009D5BCC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2.4. Frecuencia de marcapasos ajustable en el rango de 30 pulsos por minuto o menor a 180 pulsos por minuto o mayor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2.5. Activación por modos: fijo (o asincrónico) y a demanda (o sincrónico).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2.6. Despliegue de parámetros en pantalla.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 Monitor. </w:t>
            </w:r>
          </w:p>
          <w:p w:rsidR="004C0643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3.1. Pantalla LCD a color de 6.5 pulgadas como mínimo.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3.2. Con despliegue numérico y de onda de los siguientes parámetros: frecuencia cardiaca, de ECG como mínimo a seleccionar entre 9 derivaciones: (DI, DII, DIII, aVR, aVL, aVF, Va, Vb y PALAS).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3.3. Despliegues en pantalla y panel de control en idioma español.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3.4. Despliegue de 4 ondas simultáneamente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3.5. Despliegue de ventana GUÍA que muestre medidas de corrección a seguir en  caso de alarma técnica mediante instrucciones y figuras.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 Palas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4.1. Para excitación externa, convertibles adulto/pediátricas que detecten actividad electrocardiográfica.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4.2. Con descarga desde las palas y desde el panel de control.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4.3. Botón de carga desde las palas y desde el panes de control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4.4. Con posibilidad de uso de electrodos o almohadillas para desfibrilación.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5. Parches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lastRenderedPageBreak/>
              <w:t>5.1. Desechables para excitación externa, adulto/pediátricos que detecten actividad electrocardiográfica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6. Alarmas audibles y visibles.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6.1. Seleccionables por el usuario, para alteraciones en la frecuencia cardiaca y SpO2.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6.2. De desconexión del paciente.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6.3. Del nivel de carga de la batería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 Sistema de registro.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7.1. Impresión integrada.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7.2. Con capacidad de imprimir trazo de ECG e información relativa al evento registrado. 7.3. Modo de operación manual y/o automático seleccionable por el usuario.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7.4. Dos canales como mínimo.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 SpO2.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8.1. Porcentaje numérico de SpO2 desplegado en pantalla y curva de pletismografía y/o  barra de pulso y frecuencia de pulso.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8.2. Cable troncal y sensor reusable de dedo adulto/pediátrico sumergible en agua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8.3. Alarmas visibles y audibles, seleccionables por el usuario, para alteraciones en el porcentaje de SpO2.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9. Capacidad a futuro de medición de capnografía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9.1. Despliegue gráfico y numérico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10. Capacidad a futuro de medición de presión no invasiva*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 Batería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11.1. Recargable e integrada.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11.2. Carga de la batería mientras el equipo se encuentra conectado a la corriente alterna.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11.3. Que permita dar al menos 100 desfibrilaciones a carga máxima o 3 horas de monitoreo continuo como mínimo. </w:t>
            </w:r>
          </w:p>
          <w:p w:rsidR="004F234E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11.4. Tiempo de carga máximo de 3 horas.</w:t>
            </w:r>
            <w:r w:rsidRPr="004F234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12. Cable de paciente de 6 puntas.</w:t>
            </w:r>
          </w:p>
          <w:p w:rsidR="00FB1678" w:rsidRPr="004F234E" w:rsidRDefault="00FB1678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13. ASA SUPERIOR PARA TRANSPORTE DEL EQUIPO.</w:t>
            </w:r>
          </w:p>
          <w:p w:rsidR="004C0643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14. Peso máximo del equipo 7 kg.</w:t>
            </w:r>
          </w:p>
          <w:p w:rsidR="004F234E" w:rsidRPr="004F234E" w:rsidRDefault="004F234E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 Accesorios:  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3.1 Para oximetría de pulso: Cable troncal y sensor reusable de dedo adulto/pediátrico y multisitio.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3.2 Cable para uso de electrodos de desfibrilación y/o marcapasos compatible con el equipo. (incluir marca y modelo).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3.3 Cable para paciente de 5 puntas como mínimo</w:t>
            </w:r>
            <w:proofErr w:type="gramStart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..</w:t>
            </w:r>
            <w:proofErr w:type="gramEnd"/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3.4 Brazalete reusable para medición de la presión no invasiva, uno adulto y uno pediátrico, con manguera y conector para los brazaletes. </w:t>
            </w:r>
          </w:p>
          <w:p w:rsidR="004F234E" w:rsidRPr="004F234E" w:rsidRDefault="004F234E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3.5 Equipo para intubacion con visualizador de videocamara.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1. Video-monitor con una micro cámara integrada y que permita la incorporación de un dispositivo  Supraglótico de tipo Video Mascara Laríngea con pala rígida con las siguientes características: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2. Que sea un dispositivo fácil de usar, controlable por un solo operador.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3. Que el sistema óptico cuente con sistema anti empañamiento.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 Cuente con un conector para salida de video a un monitor secundario.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5. Incluya una ranura para tarjeta SD que permita grabar y guardar videos.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lastRenderedPageBreak/>
              <w:t xml:space="preserve">6. Sistema de iluminación de la cámara LED. 7. Que el sistema </w:t>
            </w:r>
            <w:r w:rsidR="004F234E"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incluya como kit de inicio con  video mascara laríngea ( del número 4 </w:t>
            </w: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) Con las siguientes características: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7.1. Mascara con mango o globo de alto volumen y baja presión fabricada de silicón grado médico y libre de látex.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7.2. Con una bolsa para contener el extremo distal de la pala rígida.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7.3. Que la máscara cuente con una protuberancia lateral y otra posterior para dirigir el ETT hacia el centro de las cuerdas vocales.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7.4. Cuente con un canal que permita la aspiración de secreciones en la máscara. </w:t>
            </w:r>
          </w:p>
          <w:p w:rsidR="004C0643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7.5. Cuente con un canal que permita la aspiración gástrica y la introducción de una sonda gastrica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7.6. Que incorpore un canal por el que se puedan introducir tubos endotraqueales (ETT) convencionales, de PVC o silicona de tamaño hasta 8.5.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7.7. Que incluya una pala rígida de video laringoscopio con ángulo de 90 grados en su extremo distal y uno de 25 grados en su extremo proximal.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7.8. Cuente con una caja de baterías con capacidad de uso continuo de 45 minutos. </w:t>
            </w:r>
          </w:p>
          <w:p w:rsidR="004F234E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7.9. Incluya un conector en “T” que permita la introducción de dispositivos auxiliares como una guía tipo bougie o equipos de fibroscopio. </w:t>
            </w:r>
          </w:p>
          <w:p w:rsidR="004C0643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8. Sistema para ser utilizado en las diferentes áreas hospitalarias y pre-hospitalarias por personal médico y paramédico, especialmente las áreas críticas como son quirófano, Unidad de Cuidados </w:t>
            </w:r>
          </w:p>
          <w:p w:rsidR="004C0643" w:rsidRPr="004F234E" w:rsidRDefault="004C0643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 intensivos y servicio de Urgencias, así como en las ambulancias tanto terrestres como aéreas.</w:t>
            </w:r>
          </w:p>
          <w:p w:rsidR="004F234E" w:rsidRPr="004F234E" w:rsidRDefault="004F234E" w:rsidP="004C0643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 Consumibles:  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4.1 Electrodos para monitoreo de ECG (100 piezas)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4.2 Electrodos auto adheribles trasncutaneos para desfibrilación y/o marcapasos tamaño adulto o pediátrico, a elección de la unidad médica al menos 1 pieza (referir marca y modelo).  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4.3 Pasta conductora al menos dos tubos.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4.4 Papel para impresión al menos dos rollos.  </w:t>
            </w:r>
          </w:p>
          <w:p w:rsidR="004F234E" w:rsidRPr="004F234E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 xml:space="preserve">4.5 Al menos una bolsa con 100 sellos de garantía.  </w:t>
            </w:r>
          </w:p>
          <w:p w:rsidR="004C0643" w:rsidRDefault="004C0643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4F234E">
              <w:rPr>
                <w:rFonts w:ascii="Arial" w:hAnsi="Arial" w:cs="Arial"/>
                <w:caps/>
                <w:sz w:val="18"/>
                <w:szCs w:val="18"/>
                <w:lang w:val="es-ES"/>
              </w:rPr>
              <w:t>4.6 Al menos dos focos para laringoscopio.</w:t>
            </w:r>
          </w:p>
          <w:p w:rsidR="0066037E" w:rsidRDefault="0066037E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</w:p>
          <w:p w:rsidR="0066037E" w:rsidRPr="004F234E" w:rsidRDefault="0066037E" w:rsidP="000F0F1B">
            <w:pPr>
              <w:pStyle w:val="Default"/>
              <w:snapToGrid w:val="0"/>
              <w:rPr>
                <w:rFonts w:ascii="Arial" w:hAnsi="Arial" w:cs="Arial"/>
                <w:caps/>
                <w:sz w:val="18"/>
                <w:szCs w:val="18"/>
                <w:lang w:val="es-ES"/>
              </w:rPr>
            </w:pPr>
            <w:r w:rsidRPr="0066037E">
              <w:rPr>
                <w:rFonts w:ascii="Arial" w:hAnsi="Arial" w:cs="Arial"/>
                <w:caps/>
                <w:sz w:val="18"/>
                <w:szCs w:val="18"/>
                <w:lang w:val="es-ES"/>
              </w:rPr>
              <w:t>REFACCIONES: SEGÚN MARCA Y MODELO. INSTALACIÓN: CORRIENTE ELÉCTRICA 120 V 60 HZ. OPERACIÓN: POR PERSONAL ESPECIALIZADO Y DE ACUERDO AL MANUAL DE OPERACIÓN. MANTENIMIENTO: PREVENTIVO Y CORRECTIVO POR PERSONAL CALIFICADO.</w:t>
            </w:r>
          </w:p>
          <w:p w:rsidR="00FB1678" w:rsidRPr="000F0F1B" w:rsidRDefault="00FB1678" w:rsidP="000F0F1B">
            <w:pPr>
              <w:pStyle w:val="Default"/>
              <w:snapToGrid w:val="0"/>
              <w:rPr>
                <w:rFonts w:cs="Arial"/>
                <w:caps/>
                <w:sz w:val="16"/>
                <w:szCs w:val="20"/>
                <w:lang w:val="es-ES"/>
              </w:rPr>
            </w:pPr>
          </w:p>
        </w:tc>
        <w:tc>
          <w:tcPr>
            <w:tcW w:w="347" w:type="dxa"/>
          </w:tcPr>
          <w:p w:rsidR="009D5BCC" w:rsidRDefault="009D5BCC">
            <w:pPr>
              <w:suppressAutoHyphens w:val="0"/>
            </w:pPr>
          </w:p>
        </w:tc>
      </w:tr>
      <w:tr w:rsidR="009D5BCC" w:rsidTr="009124E5">
        <w:trPr>
          <w:gridAfter w:val="1"/>
          <w:wAfter w:w="347" w:type="dxa"/>
          <w:trHeight w:val="50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6"/>
                <w:szCs w:val="16"/>
                <w:lang w:val="es-ES"/>
              </w:rPr>
            </w:pPr>
            <w:r>
              <w:rPr>
                <w:b/>
                <w:sz w:val="16"/>
                <w:szCs w:val="16"/>
                <w:lang w:val="es-ES"/>
              </w:rPr>
              <w:lastRenderedPageBreak/>
              <w:t>Accesorios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80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</w:tr>
      <w:tr w:rsidR="009D5BCC" w:rsidTr="009124E5">
        <w:trPr>
          <w:gridAfter w:val="1"/>
          <w:wAfter w:w="347" w:type="dxa"/>
          <w:trHeight w:val="50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809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0F1B" w:rsidRPr="00082B1C" w:rsidRDefault="000F0F1B" w:rsidP="000F0F1B">
            <w:pPr>
              <w:pStyle w:val="Standard"/>
              <w:snapToGrid w:val="0"/>
              <w:spacing w:after="0"/>
              <w:rPr>
                <w:rFonts w:cs="Arial"/>
                <w:sz w:val="16"/>
                <w:szCs w:val="20"/>
                <w:lang w:val="es-ES"/>
              </w:rPr>
            </w:pPr>
          </w:p>
        </w:tc>
      </w:tr>
      <w:tr w:rsidR="009D5BCC" w:rsidTr="009124E5">
        <w:trPr>
          <w:gridAfter w:val="1"/>
          <w:wAfter w:w="347" w:type="dxa"/>
          <w:trHeight w:val="50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z w:val="12"/>
                <w:szCs w:val="12"/>
                <w:lang w:val="es-ES"/>
              </w:rPr>
            </w:pPr>
            <w:r>
              <w:rPr>
                <w:b/>
                <w:sz w:val="12"/>
                <w:szCs w:val="12"/>
                <w:lang w:val="es-ES"/>
              </w:rPr>
              <w:t>Instalación  de la unidad solicitada: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proofErr w:type="spellStart"/>
            <w:r>
              <w:rPr>
                <w:sz w:val="16"/>
                <w:szCs w:val="16"/>
                <w:lang w:val="es-ES"/>
              </w:rPr>
              <w:t>Cant</w:t>
            </w:r>
            <w:proofErr w:type="spellEnd"/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Descripción</w:t>
            </w:r>
          </w:p>
        </w:tc>
        <w:tc>
          <w:tcPr>
            <w:tcW w:w="277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Nivel de atención</w:t>
            </w:r>
          </w:p>
        </w:tc>
      </w:tr>
      <w:tr w:rsidR="009D5BCC" w:rsidTr="009124E5">
        <w:trPr>
          <w:gridAfter w:val="1"/>
          <w:wAfter w:w="347" w:type="dxa"/>
          <w:trHeight w:val="244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5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</w:p>
        </w:tc>
        <w:tc>
          <w:tcPr>
            <w:tcW w:w="9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strike/>
                <w:sz w:val="16"/>
                <w:szCs w:val="16"/>
                <w:lang w:val="es-ES"/>
              </w:rPr>
            </w:pPr>
            <w:r>
              <w:rPr>
                <w:b/>
                <w:strike/>
                <w:sz w:val="16"/>
                <w:szCs w:val="16"/>
                <w:lang w:val="es-ES"/>
              </w:rPr>
              <w:t>Primer</w:t>
            </w:r>
          </w:p>
        </w:tc>
        <w:tc>
          <w:tcPr>
            <w:tcW w:w="9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Segundo</w:t>
            </w:r>
          </w:p>
        </w:tc>
        <w:tc>
          <w:tcPr>
            <w:tcW w:w="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b/>
                <w:bCs/>
                <w:strike/>
                <w:sz w:val="16"/>
                <w:szCs w:val="16"/>
                <w:lang w:val="es-ES"/>
              </w:rPr>
            </w:pPr>
            <w:r>
              <w:rPr>
                <w:b/>
                <w:bCs/>
                <w:strike/>
                <w:sz w:val="16"/>
                <w:szCs w:val="16"/>
                <w:lang w:val="es-ES"/>
              </w:rPr>
              <w:t>Tercer</w:t>
            </w:r>
          </w:p>
        </w:tc>
      </w:tr>
      <w:tr w:rsidR="009D5BCC" w:rsidTr="009124E5">
        <w:trPr>
          <w:gridAfter w:val="1"/>
          <w:wAfter w:w="347" w:type="dxa"/>
          <w:trHeight w:val="331"/>
        </w:trPr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</w:pPr>
            <w:r>
              <w:rPr>
                <w:b/>
                <w:sz w:val="16"/>
                <w:szCs w:val="16"/>
                <w:lang w:val="es-ES"/>
              </w:rPr>
              <w:t>Documentos a entregar y requisitos de evaluación técnica</w:t>
            </w: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del registro sanitario vigente o justificación sustentada del licitante en caso de que no aplique</w:t>
            </w:r>
          </w:p>
        </w:tc>
      </w:tr>
      <w:tr w:rsidR="009D5BCC" w:rsidTr="009124E5">
        <w:trPr>
          <w:gridAfter w:val="1"/>
          <w:wAfter w:w="347" w:type="dxa"/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Original de catálogos, folletos, manuales, guías u otro necesario para indicar las referencias técnicas solicitadas</w:t>
            </w:r>
          </w:p>
        </w:tc>
      </w:tr>
      <w:tr w:rsidR="009D5BCC" w:rsidTr="009124E5">
        <w:trPr>
          <w:gridAfter w:val="1"/>
          <w:wAfter w:w="347" w:type="dxa"/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6463" w:type="dxa"/>
            <w:gridSpan w:val="9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para garantía de los bienes del distribuidor y/o fabricante  por lo menos</w:t>
            </w:r>
          </w:p>
        </w:tc>
        <w:tc>
          <w:tcPr>
            <w:tcW w:w="8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1</w:t>
            </w:r>
          </w:p>
        </w:tc>
        <w:tc>
          <w:tcPr>
            <w:tcW w:w="131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años.</w:t>
            </w:r>
          </w:p>
        </w:tc>
      </w:tr>
      <w:tr w:rsidR="009D5BCC" w:rsidTr="009124E5">
        <w:trPr>
          <w:gridAfter w:val="1"/>
          <w:wAfter w:w="347" w:type="dxa"/>
          <w:trHeight w:val="57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8651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compromiso original del distribuidor y/o fabricante que garantice la entrega de equipo nuevo.</w:t>
            </w:r>
          </w:p>
        </w:tc>
      </w:tr>
      <w:tr w:rsidR="009D5BCC" w:rsidTr="009124E5">
        <w:trPr>
          <w:gridAfter w:val="1"/>
          <w:wAfter w:w="347" w:type="dxa"/>
          <w:trHeight w:val="56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nacional</w:t>
            </w: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carta de buenas prácticas de fabricación COFEPRIS y/o ISO 9001:2008  y 13485:2003 del fabricante incluyendo el alcance del bien ofertado</w:t>
            </w:r>
          </w:p>
        </w:tc>
      </w:tr>
      <w:tr w:rsidR="009D5BCC" w:rsidTr="009124E5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Carta original de apoyo solidario en la licitación del fabricante o, Carta de apoyo del distribuidor princ</w:t>
            </w:r>
            <w:r>
              <w:rPr>
                <w:sz w:val="16"/>
                <w:szCs w:val="16"/>
                <w:lang w:val="es-ES"/>
              </w:rPr>
              <w:t>i</w:t>
            </w:r>
            <w:r>
              <w:rPr>
                <w:sz w:val="16"/>
                <w:szCs w:val="16"/>
                <w:lang w:val="es-ES"/>
              </w:rPr>
              <w:t>pal y copia de la carta de distribución del fabricante vigente.</w:t>
            </w:r>
          </w:p>
        </w:tc>
      </w:tr>
      <w:tr w:rsidR="009D5BCC" w:rsidTr="009124E5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0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 w:rsidTr="009124E5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Productos de origen extranjero</w:t>
            </w: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Copia simple de certificado ISO 9001:2008  y 13485:2003 del fabricante incluyendo el alcance del bien ofertado</w:t>
            </w:r>
          </w:p>
        </w:tc>
      </w:tr>
      <w:tr w:rsidR="009D5BCC" w:rsidTr="009124E5">
        <w:trPr>
          <w:gridAfter w:val="1"/>
          <w:wAfter w:w="347" w:type="dxa"/>
          <w:trHeight w:val="7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5BCC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Carta original de apoyo  del fabricante </w:t>
            </w:r>
          </w:p>
          <w:p w:rsidR="00044D1E" w:rsidRDefault="00044D1E" w:rsidP="00044D1E">
            <w:pPr>
              <w:pStyle w:val="Standard"/>
              <w:snapToGrid w:val="0"/>
              <w:spacing w:after="0" w:line="240" w:lineRule="auto"/>
              <w:jc w:val="both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Certificado de Origen.</w:t>
            </w:r>
          </w:p>
        </w:tc>
      </w:tr>
      <w:tr w:rsidR="009D5BCC" w:rsidTr="009124E5">
        <w:trPr>
          <w:gridAfter w:val="1"/>
          <w:wAfter w:w="347" w:type="dxa"/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505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>Demostrar cumplir con los certificados de calidad en documentos:</w:t>
            </w:r>
          </w:p>
        </w:tc>
        <w:tc>
          <w:tcPr>
            <w:tcW w:w="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  <w:tr w:rsidR="009D5BCC" w:rsidTr="009124E5">
        <w:trPr>
          <w:gridAfter w:val="1"/>
          <w:wAfter w:w="347" w:type="dxa"/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76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  <w:r>
              <w:rPr>
                <w:sz w:val="16"/>
                <w:szCs w:val="16"/>
                <w:lang w:val="es-ES"/>
              </w:rPr>
              <w:t xml:space="preserve">Certificados de calidad </w:t>
            </w:r>
            <w:proofErr w:type="spellStart"/>
            <w:r>
              <w:rPr>
                <w:sz w:val="16"/>
                <w:szCs w:val="16"/>
                <w:lang w:val="es-ES"/>
              </w:rPr>
              <w:t>opcionales:</w:t>
            </w:r>
            <w:r w:rsidR="00690568">
              <w:rPr>
                <w:sz w:val="16"/>
                <w:szCs w:val="16"/>
                <w:lang w:val="es-ES"/>
              </w:rPr>
              <w:t>FDA</w:t>
            </w:r>
            <w:proofErr w:type="spellEnd"/>
            <w:r w:rsidR="00690568">
              <w:rPr>
                <w:sz w:val="16"/>
                <w:szCs w:val="16"/>
                <w:lang w:val="es-ES"/>
              </w:rPr>
              <w:t>, JIS, CE</w:t>
            </w:r>
          </w:p>
        </w:tc>
      </w:tr>
      <w:tr w:rsidR="009D5BCC" w:rsidTr="009124E5">
        <w:trPr>
          <w:gridAfter w:val="1"/>
          <w:wAfter w:w="347" w:type="dxa"/>
          <w:trHeight w:val="145"/>
        </w:trPr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96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suppressAutoHyphens w:val="0"/>
            </w:pP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  <w:tc>
          <w:tcPr>
            <w:tcW w:w="38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D5BCC" w:rsidRDefault="009D5BCC" w:rsidP="009D5BCC">
            <w:pPr>
              <w:pStyle w:val="Standard"/>
              <w:snapToGrid w:val="0"/>
              <w:spacing w:after="0" w:line="240" w:lineRule="auto"/>
              <w:jc w:val="center"/>
              <w:rPr>
                <w:sz w:val="16"/>
                <w:szCs w:val="16"/>
                <w:lang w:val="es-ES"/>
              </w:rPr>
            </w:pPr>
          </w:p>
        </w:tc>
      </w:tr>
    </w:tbl>
    <w:p w:rsidR="00DB7203" w:rsidRDefault="00DB7203" w:rsidP="00044D1E">
      <w:pPr>
        <w:pStyle w:val="Standard"/>
        <w:spacing w:after="0" w:line="240" w:lineRule="auto"/>
        <w:jc w:val="both"/>
      </w:pPr>
    </w:p>
    <w:sectPr w:rsidR="00DB7203">
      <w:headerReference w:type="default" r:id="rId10"/>
      <w:footerReference w:type="default" r:id="rId11"/>
      <w:pgSz w:w="12240" w:h="15840"/>
      <w:pgMar w:top="1418" w:right="1134" w:bottom="1985" w:left="1134" w:header="567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6A7" w:rsidRDefault="00E356A7">
      <w:r>
        <w:separator/>
      </w:r>
    </w:p>
  </w:endnote>
  <w:endnote w:type="continuationSeparator" w:id="0">
    <w:p w:rsidR="00E356A7" w:rsidRDefault="00E3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1E3" w:rsidRDefault="007D3149">
    <w:pPr>
      <w:pStyle w:val="Piedepgina"/>
    </w:pPr>
    <w:r>
      <w:rPr>
        <w:noProof/>
        <w:lang w:eastAsia="es-MX"/>
      </w:rPr>
      <w:drawing>
        <wp:inline distT="0" distB="0" distL="0" distR="0">
          <wp:extent cx="640262" cy="603924"/>
          <wp:effectExtent l="0" t="0" r="7438" b="5676"/>
          <wp:docPr id="1" name="Imagen 3" descr="Imagen que contiene texto&#10;&#10;Descripción generada automá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40262" cy="603924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6A7" w:rsidRDefault="00E356A7">
      <w:r>
        <w:rPr>
          <w:color w:val="000000"/>
        </w:rPr>
        <w:separator/>
      </w:r>
    </w:p>
  </w:footnote>
  <w:footnote w:type="continuationSeparator" w:id="0">
    <w:p w:rsidR="00E356A7" w:rsidRDefault="00E356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73" w:type="dxa"/>
      <w:tblInd w:w="-258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809"/>
      <w:gridCol w:w="1418"/>
      <w:gridCol w:w="3402"/>
      <w:gridCol w:w="1181"/>
      <w:gridCol w:w="1181"/>
      <w:gridCol w:w="1182"/>
      <w:gridCol w:w="300"/>
    </w:tblGrid>
    <w:tr w:rsidR="00E441E3">
      <w:trPr>
        <w:trHeight w:val="986"/>
      </w:trPr>
      <w:tc>
        <w:tcPr>
          <w:tcW w:w="10173" w:type="dxa"/>
          <w:gridSpan w:val="6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 xml:space="preserve">  O.P.D. SERVICIOS DE SALUD JALISCO</w:t>
          </w:r>
        </w:p>
        <w:p w:rsidR="00E441E3" w:rsidRDefault="00E356A7">
          <w:pPr>
            <w:pStyle w:val="Heading"/>
            <w:snapToGrid w:val="0"/>
            <w:jc w:val="right"/>
          </w:pPr>
        </w:p>
      </w:tc>
      <w:tc>
        <w:tcPr>
          <w:tcW w:w="300" w:type="dxa"/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E356A7">
          <w:pPr>
            <w:pStyle w:val="Standard"/>
            <w:snapToGrid w:val="0"/>
            <w:rPr>
              <w:sz w:val="16"/>
            </w:rPr>
          </w:pPr>
        </w:p>
      </w:tc>
    </w:tr>
    <w:tr w:rsidR="00E441E3">
      <w:trPr>
        <w:trHeight w:val="525"/>
      </w:trPr>
      <w:tc>
        <w:tcPr>
          <w:tcW w:w="1809" w:type="dxa"/>
          <w:tcBorders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9124E5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Partida 2019</w:t>
          </w:r>
          <w:r w:rsidR="007D3149">
            <w:rPr>
              <w:sz w:val="16"/>
            </w:rPr>
            <w:t>:</w:t>
          </w:r>
        </w:p>
      </w:tc>
      <w:tc>
        <w:tcPr>
          <w:tcW w:w="1418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>
          <w:pPr>
            <w:pStyle w:val="Heading"/>
            <w:snapToGrid w:val="0"/>
            <w:jc w:val="center"/>
            <w:rPr>
              <w:sz w:val="16"/>
            </w:rPr>
          </w:pPr>
          <w:r>
            <w:rPr>
              <w:sz w:val="16"/>
            </w:rPr>
            <w:t>53101</w:t>
          </w:r>
        </w:p>
      </w:tc>
      <w:tc>
        <w:tcPr>
          <w:tcW w:w="3402" w:type="dxa"/>
          <w:tcBorders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7D3149" w:rsidP="009124E5">
          <w:pPr>
            <w:pStyle w:val="Heading"/>
            <w:snapToGrid w:val="0"/>
            <w:jc w:val="right"/>
            <w:rPr>
              <w:sz w:val="16"/>
            </w:rPr>
          </w:pPr>
          <w:r>
            <w:rPr>
              <w:sz w:val="16"/>
            </w:rPr>
            <w:t>Clave de cuadro estatal 201</w:t>
          </w:r>
          <w:r w:rsidR="009124E5">
            <w:rPr>
              <w:sz w:val="16"/>
            </w:rPr>
            <w:t>9</w:t>
          </w:r>
          <w:r>
            <w:rPr>
              <w:sz w:val="16"/>
            </w:rPr>
            <w:t>:</w:t>
          </w: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E356A7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1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E356A7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1182" w:type="dxa"/>
          <w:tcBorders>
            <w:top w:val="single" w:sz="4" w:space="0" w:color="000000"/>
            <w:left w:val="single" w:sz="4" w:space="0" w:color="000000"/>
            <w:bottom w:val="double" w:sz="6" w:space="0" w:color="80808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E441E3" w:rsidRDefault="00E356A7">
          <w:pPr>
            <w:pStyle w:val="Heading"/>
            <w:snapToGrid w:val="0"/>
            <w:jc w:val="center"/>
            <w:rPr>
              <w:sz w:val="16"/>
            </w:rPr>
          </w:pPr>
        </w:p>
      </w:tc>
      <w:tc>
        <w:tcPr>
          <w:tcW w:w="300" w:type="dxa"/>
          <w:tcBorders>
            <w:left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E441E3" w:rsidRDefault="00E356A7">
          <w:pPr>
            <w:pStyle w:val="Standard"/>
            <w:snapToGrid w:val="0"/>
            <w:rPr>
              <w:b/>
            </w:rPr>
          </w:pPr>
        </w:p>
      </w:tc>
    </w:tr>
    <w:tr w:rsidR="00E441E3">
      <w:trPr>
        <w:trHeight w:val="394"/>
      </w:trPr>
      <w:tc>
        <w:tcPr>
          <w:tcW w:w="10473" w:type="dxa"/>
          <w:gridSpan w:val="7"/>
          <w:tcBorders>
            <w:top w:val="double" w:sz="18" w:space="0" w:color="808080"/>
            <w:left w:val="double" w:sz="18" w:space="0" w:color="808080"/>
            <w:bottom w:val="double" w:sz="18" w:space="0" w:color="808080"/>
            <w:right w:val="double" w:sz="18" w:space="0" w:color="808080"/>
          </w:tcBorders>
          <w:shd w:val="clear" w:color="auto" w:fill="D9D9D9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9D5BCC" w:rsidRDefault="00FB1678" w:rsidP="00982058">
          <w:pPr>
            <w:pStyle w:val="Standard"/>
            <w:snapToGrid w:val="0"/>
            <w:jc w:val="center"/>
            <w:rPr>
              <w:b/>
            </w:rPr>
          </w:pPr>
          <w:r>
            <w:rPr>
              <w:b/>
              <w:sz w:val="18"/>
            </w:rPr>
            <w:t xml:space="preserve">CARRO ROJO CON EQUIPO COMPLETO PARA REANIMACION  CON DESFIBRILADOR  MONITOR </w:t>
          </w:r>
        </w:p>
      </w:tc>
    </w:tr>
  </w:tbl>
  <w:p w:rsidR="00E441E3" w:rsidRDefault="00E356A7">
    <w:pPr>
      <w:pStyle w:val="Heading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203"/>
    <w:rsid w:val="00044D1E"/>
    <w:rsid w:val="000665B2"/>
    <w:rsid w:val="00082B1C"/>
    <w:rsid w:val="000C65B7"/>
    <w:rsid w:val="000F0F1B"/>
    <w:rsid w:val="00114EFA"/>
    <w:rsid w:val="00192776"/>
    <w:rsid w:val="001E131B"/>
    <w:rsid w:val="003028A9"/>
    <w:rsid w:val="003036B1"/>
    <w:rsid w:val="00352C2C"/>
    <w:rsid w:val="00352C49"/>
    <w:rsid w:val="00470A11"/>
    <w:rsid w:val="004C0643"/>
    <w:rsid w:val="004E4122"/>
    <w:rsid w:val="004F234E"/>
    <w:rsid w:val="00566E5E"/>
    <w:rsid w:val="005A58E3"/>
    <w:rsid w:val="005B6AB1"/>
    <w:rsid w:val="005C086B"/>
    <w:rsid w:val="00622DD4"/>
    <w:rsid w:val="006506D8"/>
    <w:rsid w:val="0066037E"/>
    <w:rsid w:val="00690568"/>
    <w:rsid w:val="007A7EAF"/>
    <w:rsid w:val="007D3149"/>
    <w:rsid w:val="007F731E"/>
    <w:rsid w:val="00804BD7"/>
    <w:rsid w:val="00831B7C"/>
    <w:rsid w:val="00853AA0"/>
    <w:rsid w:val="008566D4"/>
    <w:rsid w:val="009124E5"/>
    <w:rsid w:val="00924498"/>
    <w:rsid w:val="00982058"/>
    <w:rsid w:val="009B6CF4"/>
    <w:rsid w:val="009C238F"/>
    <w:rsid w:val="009C753E"/>
    <w:rsid w:val="009D3B8C"/>
    <w:rsid w:val="009D5BCC"/>
    <w:rsid w:val="009F5AFD"/>
    <w:rsid w:val="00A44CE2"/>
    <w:rsid w:val="00AE7D00"/>
    <w:rsid w:val="00B034FA"/>
    <w:rsid w:val="00B407A6"/>
    <w:rsid w:val="00B71289"/>
    <w:rsid w:val="00C63BC7"/>
    <w:rsid w:val="00DB7203"/>
    <w:rsid w:val="00DD0BCE"/>
    <w:rsid w:val="00E356A7"/>
    <w:rsid w:val="00E41477"/>
    <w:rsid w:val="00FB1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es-MX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ascii="Palatino Linotype" w:eastAsia="Calibri" w:hAnsi="Palatino Linotype" w:cs="Palatino Linotype"/>
      <w:sz w:val="20"/>
      <w:szCs w:val="22"/>
      <w:lang w:bidi="ar-SA"/>
    </w:rPr>
  </w:style>
  <w:style w:type="paragraph" w:customStyle="1" w:styleId="Heading">
    <w:name w:val="Heading"/>
    <w:basedOn w:val="Standard"/>
    <w:pPr>
      <w:spacing w:after="0" w:line="240" w:lineRule="auto"/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Epgrafe1">
    <w:name w:val="Epígrafe1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iedepgina">
    <w:name w:val="footer"/>
    <w:basedOn w:val="Standard"/>
    <w:pPr>
      <w:spacing w:after="0" w:line="240" w:lineRule="auto"/>
    </w:pPr>
  </w:style>
  <w:style w:type="paragraph" w:styleId="Textodeglobo">
    <w:name w:val="Balloon Text"/>
    <w:basedOn w:val="Standard"/>
    <w:pPr>
      <w:spacing w:after="0" w:line="240" w:lineRule="auto"/>
    </w:pPr>
    <w:rPr>
      <w:rFonts w:ascii="Tahoma" w:hAnsi="Tahoma"/>
      <w:sz w:val="16"/>
      <w:szCs w:val="16"/>
    </w:rPr>
  </w:style>
  <w:style w:type="paragraph" w:styleId="Sinespaciado">
    <w:name w:val="No Spacing"/>
    <w:pPr>
      <w:widowControl/>
      <w:suppressAutoHyphens/>
    </w:pPr>
    <w:rPr>
      <w:rFonts w:ascii="Calibri" w:eastAsia="Calibri" w:hAnsi="Calibri" w:cs="Palatino Linotype"/>
      <w:sz w:val="22"/>
      <w:szCs w:val="22"/>
      <w:lang w:bidi="ar-SA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Default">
    <w:name w:val="Default"/>
    <w:basedOn w:val="Standard"/>
    <w:pPr>
      <w:suppressAutoHyphens/>
      <w:autoSpaceDE w:val="0"/>
      <w:spacing w:after="0" w:line="240" w:lineRule="auto"/>
    </w:pPr>
    <w:rPr>
      <w:rFonts w:eastAsia="Palatino Linotype"/>
      <w:color w:val="000000"/>
      <w:sz w:val="24"/>
      <w:szCs w:val="24"/>
      <w:lang w:bidi="hi-IN"/>
    </w:rPr>
  </w:style>
  <w:style w:type="paragraph" w:styleId="Encabezado">
    <w:name w:val="header"/>
    <w:basedOn w:val="Standard"/>
    <w:pPr>
      <w:suppressLineNumbers/>
      <w:tabs>
        <w:tab w:val="center" w:pos="4986"/>
        <w:tab w:val="right" w:pos="9972"/>
      </w:tabs>
    </w:pPr>
  </w:style>
  <w:style w:type="character" w:customStyle="1" w:styleId="Absatz-Standardschriftart">
    <w:name w:val="Absatz-Standardschriftart"/>
  </w:style>
  <w:style w:type="character" w:customStyle="1" w:styleId="EncabezadoCar">
    <w:name w:val="Encabezado Car"/>
    <w:basedOn w:val="Fuentedeprrafopredeter"/>
  </w:style>
  <w:style w:type="character" w:customStyle="1" w:styleId="PiedepginaCar">
    <w:name w:val="Pie de página Car"/>
    <w:basedOn w:val="Fuentedeprrafopredeter"/>
  </w:style>
  <w:style w:type="character" w:customStyle="1" w:styleId="TextodegloboCar">
    <w:name w:val="Texto de globo Car"/>
    <w:rPr>
      <w:rFonts w:ascii="Tahoma" w:hAnsi="Tahoma" w:cs="Tahoma"/>
      <w:sz w:val="16"/>
      <w:szCs w:val="16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paragraph" w:styleId="HTMLconformatoprevio">
    <w:name w:val="HTML Preformatted"/>
    <w:basedOn w:val="Normal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es-MX" w:bidi="ar-SA"/>
    </w:rPr>
  </w:style>
  <w:style w:type="character" w:customStyle="1" w:styleId="HTMLconformatoprevioCar">
    <w:name w:val="HTML con formato previo Car"/>
    <w:basedOn w:val="Fuentedeprrafopredeter"/>
    <w:rPr>
      <w:rFonts w:ascii="Courier New" w:eastAsia="Times New Roman" w:hAnsi="Courier New" w:cs="Courier New"/>
      <w:kern w:val="0"/>
      <w:sz w:val="20"/>
      <w:szCs w:val="20"/>
      <w:lang w:eastAsia="es-MX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0BD89F-CB68-43DC-81DA-F554423E2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1783</Words>
  <Characters>9807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Perez Nuño</dc:creator>
  <cp:lastModifiedBy>Usuario de Windows</cp:lastModifiedBy>
  <cp:revision>5</cp:revision>
  <cp:lastPrinted>2019-05-08T21:58:00Z</cp:lastPrinted>
  <dcterms:created xsi:type="dcterms:W3CDTF">2019-05-19T20:19:00Z</dcterms:created>
  <dcterms:modified xsi:type="dcterms:W3CDTF">2019-05-20T21:24:00Z</dcterms:modified>
</cp:coreProperties>
</file>