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272" w:rsidRDefault="002B47A1" w:rsidP="00F410BB">
            <w:pPr>
              <w:pStyle w:val="Default"/>
              <w:numPr>
                <w:ilvl w:val="0"/>
                <w:numId w:val="12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bookmarkStart w:id="0" w:name="_GoBack"/>
            <w:r w:rsidRPr="002B47A1">
              <w:rPr>
                <w:rFonts w:cs="Arial"/>
                <w:sz w:val="16"/>
                <w:szCs w:val="20"/>
                <w:lang w:val="es-ES"/>
              </w:rPr>
              <w:t>Equipo para realizar pruebas de reflujo ambulatorias de 24 horas y medir niveles de pH e impedancia esofágico y gástrico</w:t>
            </w:r>
            <w:r w:rsidR="00E23272" w:rsidRPr="00352C2C">
              <w:rPr>
                <w:rFonts w:cs="Arial"/>
                <w:sz w:val="16"/>
                <w:szCs w:val="20"/>
                <w:lang w:val="es-ES"/>
              </w:rPr>
              <w:t xml:space="preserve"> 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Aparato grabador que</w:t>
            </w:r>
            <w:r w:rsidR="00BF3B2B">
              <w:rPr>
                <w:rFonts w:cs="Arial"/>
                <w:sz w:val="16"/>
                <w:szCs w:val="20"/>
                <w:lang w:val="es-ES"/>
              </w:rPr>
              <w:t xml:space="preserve"> funcione con baterías</w:t>
            </w:r>
            <w:r w:rsidRPr="002B47A1">
              <w:rPr>
                <w:rFonts w:cs="Arial"/>
                <w:sz w:val="16"/>
                <w:szCs w:val="20"/>
                <w:lang w:val="es-ES"/>
              </w:rPr>
              <w:t xml:space="preserve"> tipo AA, con capacidad de grabar 24 h</w:t>
            </w:r>
            <w:r w:rsidR="00294C68">
              <w:rPr>
                <w:rFonts w:cs="Arial"/>
                <w:sz w:val="16"/>
                <w:szCs w:val="20"/>
                <w:lang w:val="es-ES"/>
              </w:rPr>
              <w:t>o</w:t>
            </w:r>
            <w:r w:rsidRPr="002B47A1">
              <w:rPr>
                <w:rFonts w:cs="Arial"/>
                <w:sz w:val="16"/>
                <w:szCs w:val="20"/>
                <w:lang w:val="es-ES"/>
              </w:rPr>
              <w:t>r</w:t>
            </w:r>
            <w:r w:rsidR="001211A0">
              <w:rPr>
                <w:rFonts w:cs="Arial"/>
                <w:sz w:val="16"/>
                <w:szCs w:val="20"/>
                <w:lang w:val="es-ES"/>
              </w:rPr>
              <w:t>a</w:t>
            </w:r>
            <w:r w:rsidRPr="002B47A1">
              <w:rPr>
                <w:rFonts w:cs="Arial"/>
                <w:sz w:val="16"/>
                <w:szCs w:val="20"/>
                <w:lang w:val="es-ES"/>
              </w:rPr>
              <w:t>s mínimo.</w:t>
            </w:r>
          </w:p>
          <w:p w:rsidR="002B47A1" w:rsidRPr="002B47A1" w:rsidRDefault="00BF3B2B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Capaz de grabar </w:t>
            </w:r>
            <w:r w:rsidR="002B47A1" w:rsidRPr="002B47A1">
              <w:rPr>
                <w:rFonts w:cs="Arial"/>
                <w:sz w:val="16"/>
                <w:szCs w:val="20"/>
                <w:lang w:val="es-ES"/>
              </w:rPr>
              <w:t>2 sensores de pH como máximo y 8 anillos de impedancia como máximo.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Compatible para ser utilizado con catéteres de antimonio de pH y pH con impedancia.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Con botones para marcar eventos tales como: periodo de alimentos, posición supina, medicación y síntomas.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Rango de medición de pH de 1 a 10.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 xml:space="preserve">Con pantalla de cristal líquido y un peso máximo de 200 gr. 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Grabador en idioma español.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Software capaz analizar estudios de pH alámbrico e inalámbrico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Software con informes configurables a las necesidades del usuario.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 xml:space="preserve">Informe de pH que contenga puntuaciones de </w:t>
            </w:r>
            <w:proofErr w:type="spellStart"/>
            <w:r w:rsidRPr="002B47A1">
              <w:rPr>
                <w:rFonts w:cs="Arial"/>
                <w:sz w:val="16"/>
                <w:szCs w:val="20"/>
                <w:lang w:val="es-ES"/>
              </w:rPr>
              <w:t>DeMeester</w:t>
            </w:r>
            <w:proofErr w:type="spellEnd"/>
            <w:r w:rsidRPr="002B47A1">
              <w:rPr>
                <w:rFonts w:cs="Arial"/>
                <w:sz w:val="16"/>
                <w:szCs w:val="20"/>
                <w:lang w:val="es-ES"/>
              </w:rPr>
              <w:t xml:space="preserve"> (adulto) y </w:t>
            </w:r>
            <w:proofErr w:type="spellStart"/>
            <w:r w:rsidRPr="002B47A1">
              <w:rPr>
                <w:rFonts w:cs="Arial"/>
                <w:sz w:val="16"/>
                <w:szCs w:val="20"/>
                <w:lang w:val="es-ES"/>
              </w:rPr>
              <w:t>Boix</w:t>
            </w:r>
            <w:proofErr w:type="spellEnd"/>
            <w:r w:rsidRPr="002B47A1">
              <w:rPr>
                <w:rFonts w:cs="Arial"/>
                <w:sz w:val="16"/>
                <w:szCs w:val="20"/>
                <w:lang w:val="es-ES"/>
              </w:rPr>
              <w:t xml:space="preserve"> Ochoa (pediátrico), índice de síntomas, índice de sensibilidad de síntomas y probabilidad de asociación de síntomas.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 xml:space="preserve">Visualización de la impedancia en </w:t>
            </w:r>
            <w:r w:rsidR="00294C68" w:rsidRPr="002B47A1">
              <w:rPr>
                <w:rFonts w:cs="Arial"/>
                <w:sz w:val="16"/>
                <w:szCs w:val="20"/>
                <w:lang w:val="es-ES"/>
              </w:rPr>
              <w:t>gráficas</w:t>
            </w:r>
            <w:r w:rsidRPr="002B47A1">
              <w:rPr>
                <w:rFonts w:cs="Arial"/>
                <w:sz w:val="16"/>
                <w:szCs w:val="20"/>
                <w:lang w:val="es-ES"/>
              </w:rPr>
              <w:t xml:space="preserve"> y en contorno a color.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 xml:space="preserve">Barra de color </w:t>
            </w:r>
            <w:proofErr w:type="spellStart"/>
            <w:r w:rsidRPr="002B47A1">
              <w:rPr>
                <w:rFonts w:cs="Arial"/>
                <w:sz w:val="16"/>
                <w:szCs w:val="20"/>
                <w:lang w:val="es-ES"/>
              </w:rPr>
              <w:t>super</w:t>
            </w:r>
            <w:proofErr w:type="spellEnd"/>
            <w:r w:rsidRPr="002B47A1">
              <w:rPr>
                <w:rFonts w:cs="Arial"/>
                <w:sz w:val="16"/>
                <w:szCs w:val="20"/>
                <w:lang w:val="es-ES"/>
              </w:rPr>
              <w:t xml:space="preserve">-impuesta en la anatomía 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Grabador con transferencia de datos a la computadora por puerto USB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Software en idioma español.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Compatible con catéteres de pH e impedancia y únicamente pH</w:t>
            </w:r>
          </w:p>
          <w:p w:rsidR="002B47A1" w:rsidRPr="002B47A1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Compatible con soluciones de calibración de pH 1, 4 y 7</w:t>
            </w:r>
          </w:p>
          <w:p w:rsidR="00BE6DFE" w:rsidRPr="00245418" w:rsidRDefault="002B47A1" w:rsidP="00F410BB">
            <w:pPr>
              <w:pStyle w:val="Default"/>
              <w:numPr>
                <w:ilvl w:val="0"/>
                <w:numId w:val="11"/>
              </w:numPr>
              <w:snapToGrid w:val="0"/>
              <w:ind w:left="436"/>
              <w:rPr>
                <w:rFonts w:cs="Arial"/>
                <w:sz w:val="16"/>
                <w:szCs w:val="20"/>
                <w:lang w:val="es-ES"/>
              </w:rPr>
            </w:pPr>
            <w:r w:rsidRPr="002B47A1">
              <w:rPr>
                <w:rFonts w:cs="Arial"/>
                <w:sz w:val="16"/>
                <w:szCs w:val="20"/>
                <w:lang w:val="es-ES"/>
              </w:rPr>
              <w:t>Visualización anatómica de la posición del catéter</w:t>
            </w:r>
            <w:bookmarkEnd w:id="0"/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8F05A5" w:rsidTr="008F05A5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5A5" w:rsidRDefault="008F05A5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A3C" w:rsidRDefault="00387A3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387A3C" w:rsidRDefault="00387A3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95990" w:rsidRPr="00A95990" w:rsidRDefault="00A95990" w:rsidP="00A95990">
            <w:pPr>
              <w:pStyle w:val="Prrafodelista"/>
              <w:widowControl/>
              <w:numPr>
                <w:ilvl w:val="0"/>
                <w:numId w:val="11"/>
              </w:numPr>
              <w:suppressAutoHyphens w:val="0"/>
              <w:autoSpaceDN/>
              <w:contextualSpacing w:val="0"/>
              <w:jc w:val="both"/>
              <w:textAlignment w:val="auto"/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</w:pP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Catéter desechable de pH, Referencia Interna, Un canal de pH. 4.7 Fr. de </w:t>
            </w:r>
            <w:r w:rsidR="00376182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diámetro</w:t>
            </w:r>
          </w:p>
          <w:p w:rsidR="00A95990" w:rsidRPr="00A95990" w:rsidRDefault="00A95990" w:rsidP="00A95990">
            <w:pPr>
              <w:pStyle w:val="Prrafodelista"/>
              <w:widowControl/>
              <w:numPr>
                <w:ilvl w:val="0"/>
                <w:numId w:val="11"/>
              </w:numPr>
              <w:suppressAutoHyphens w:val="0"/>
              <w:autoSpaceDN/>
              <w:contextualSpacing w:val="0"/>
              <w:jc w:val="both"/>
              <w:textAlignment w:val="auto"/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</w:pP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Catéter desechable de pH con impedancia, Referencia Interna, Un canal de pH y 8 anil</w:t>
            </w:r>
            <w:r w:rsidR="00376182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los de impedancia. 6.0 Fr. diámetro</w:t>
            </w: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 Adulto</w:t>
            </w:r>
          </w:p>
          <w:p w:rsidR="00A95990" w:rsidRPr="00A95990" w:rsidRDefault="00A95990" w:rsidP="00A95990">
            <w:pPr>
              <w:pStyle w:val="Prrafodelista"/>
              <w:widowControl/>
              <w:numPr>
                <w:ilvl w:val="0"/>
                <w:numId w:val="11"/>
              </w:numPr>
              <w:suppressAutoHyphens w:val="0"/>
              <w:autoSpaceDN/>
              <w:contextualSpacing w:val="0"/>
              <w:jc w:val="both"/>
              <w:textAlignment w:val="auto"/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</w:pP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Catéter desechable de pH con impedancia, Referencia Interna, Un canal de pH y 7 anillos de impedancia </w:t>
            </w:r>
            <w:r w:rsidR="00376182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especiados a 2 cm. 6.0 Fr. diámetro</w:t>
            </w: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 </w:t>
            </w:r>
            <w:r w:rsidR="001211A0"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Pediátrico</w:t>
            </w:r>
          </w:p>
          <w:p w:rsidR="00A95990" w:rsidRPr="00376182" w:rsidRDefault="00A95990" w:rsidP="00376182">
            <w:pPr>
              <w:pStyle w:val="Prrafodelista"/>
              <w:widowControl/>
              <w:numPr>
                <w:ilvl w:val="0"/>
                <w:numId w:val="11"/>
              </w:numPr>
              <w:suppressAutoHyphens w:val="0"/>
              <w:autoSpaceDN/>
              <w:contextualSpacing w:val="0"/>
              <w:jc w:val="both"/>
              <w:textAlignment w:val="auto"/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</w:pP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Catéter desechable de pH con impedancia, Referencia Inte</w:t>
            </w:r>
            <w:r w:rsidR="001211A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rna, Un canal de pH y 7 anillos</w:t>
            </w:r>
            <w:r w:rsidRPr="00A95990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 de impedancia espacia</w:t>
            </w:r>
            <w:r w:rsidR="00376182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dos a 1.5 cm. 6.0 Fr. Diámetro</w:t>
            </w:r>
          </w:p>
          <w:p w:rsidR="00BF3B2B" w:rsidRPr="00BF3B2B" w:rsidRDefault="00BF3B2B" w:rsidP="00A95990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Una </w:t>
            </w:r>
            <w:r w:rsidRPr="00BF3B2B">
              <w:rPr>
                <w:rFonts w:cs="Arial"/>
                <w:sz w:val="16"/>
                <w:szCs w:val="20"/>
                <w:lang w:val="es-ES"/>
              </w:rPr>
              <w:t>Solución Buffer de calibración 4.0</w:t>
            </w:r>
            <w:r>
              <w:rPr>
                <w:rFonts w:cs="Arial"/>
                <w:sz w:val="16"/>
                <w:szCs w:val="20"/>
                <w:lang w:val="es-ES"/>
              </w:rPr>
              <w:t xml:space="preserve"> de 500 ml</w:t>
            </w:r>
          </w:p>
          <w:p w:rsidR="00BF3B2B" w:rsidRDefault="00BF3B2B" w:rsidP="00A95990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Una </w:t>
            </w:r>
            <w:r w:rsidRPr="00BF3B2B">
              <w:rPr>
                <w:rFonts w:cs="Arial"/>
                <w:sz w:val="16"/>
                <w:szCs w:val="20"/>
                <w:lang w:val="es-ES"/>
              </w:rPr>
              <w:t>Sol</w:t>
            </w:r>
            <w:r>
              <w:rPr>
                <w:rFonts w:cs="Arial"/>
                <w:sz w:val="16"/>
                <w:szCs w:val="20"/>
                <w:lang w:val="es-ES"/>
              </w:rPr>
              <w:t>ución Buffer de calibración pH 7</w:t>
            </w:r>
          </w:p>
          <w:p w:rsidR="008F05A5" w:rsidRPr="00245418" w:rsidRDefault="00BF3B2B" w:rsidP="00BF3B2B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Un </w:t>
            </w:r>
            <w:r w:rsidRPr="00BF3B2B">
              <w:rPr>
                <w:rFonts w:cs="Arial"/>
                <w:sz w:val="16"/>
                <w:szCs w:val="20"/>
                <w:lang w:val="es-ES"/>
              </w:rPr>
              <w:t>Catéter desechable de pH, Re</w:t>
            </w:r>
            <w:r>
              <w:rPr>
                <w:rFonts w:cs="Arial"/>
                <w:sz w:val="16"/>
                <w:szCs w:val="20"/>
                <w:lang w:val="es-ES"/>
              </w:rPr>
              <w:t>ferencia Interna, de</w:t>
            </w:r>
            <w:r w:rsidRPr="00BF3B2B">
              <w:rPr>
                <w:rFonts w:cs="Arial"/>
                <w:sz w:val="16"/>
                <w:szCs w:val="20"/>
                <w:lang w:val="es-ES"/>
              </w:rPr>
              <w:t xml:space="preserve">. 4.7 Fr. de </w:t>
            </w:r>
            <w:r>
              <w:rPr>
                <w:rFonts w:cs="Arial"/>
                <w:sz w:val="16"/>
                <w:szCs w:val="20"/>
                <w:lang w:val="es-ES"/>
              </w:rPr>
              <w:t>diámetro</w:t>
            </w: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E01B9" w:rsidRDefault="005E6D7C" w:rsidP="00F410BB">
            <w:pPr>
              <w:pStyle w:val="Standard"/>
              <w:snapToGrid w:val="0"/>
              <w:spacing w:after="0" w:line="240" w:lineRule="auto"/>
              <w:ind w:left="-131"/>
              <w:jc w:val="center"/>
              <w:rPr>
                <w:sz w:val="16"/>
                <w:szCs w:val="16"/>
                <w:lang w:val="es-ES"/>
              </w:rPr>
            </w:pPr>
            <w:r w:rsidRPr="00AE01B9"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045" w:rsidRPr="00294C68" w:rsidRDefault="00294C68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No aplica</w:t>
            </w: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Productos </w:t>
            </w:r>
            <w:r>
              <w:rPr>
                <w:sz w:val="16"/>
                <w:szCs w:val="16"/>
                <w:lang w:val="es-ES"/>
              </w:rPr>
              <w:lastRenderedPageBreak/>
              <w:t>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13C" w:rsidRDefault="00AB213C">
      <w:r>
        <w:separator/>
      </w:r>
    </w:p>
  </w:endnote>
  <w:endnote w:type="continuationSeparator" w:id="0">
    <w:p w:rsidR="00AB213C" w:rsidRDefault="00AB21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13C" w:rsidRDefault="00AB213C">
      <w:r>
        <w:rPr>
          <w:color w:val="000000"/>
        </w:rPr>
        <w:separator/>
      </w:r>
    </w:p>
  </w:footnote>
  <w:footnote w:type="continuationSeparator" w:id="0">
    <w:p w:rsidR="00AB213C" w:rsidRDefault="00AB21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AB213C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B213C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B213C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B213C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B213C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B47A1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MEDIDOR DE PH ESOFÁGICO</w:t>
          </w:r>
        </w:p>
      </w:tc>
    </w:tr>
  </w:tbl>
  <w:p w:rsidR="00345FD0" w:rsidRDefault="00AB213C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0F06"/>
    <w:multiLevelType w:val="hybridMultilevel"/>
    <w:tmpl w:val="F28CA6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5B72"/>
    <w:multiLevelType w:val="multilevel"/>
    <w:tmpl w:val="065E8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2">
    <w:nsid w:val="11D417BD"/>
    <w:multiLevelType w:val="hybridMultilevel"/>
    <w:tmpl w:val="B0BA77E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26AC7"/>
    <w:multiLevelType w:val="hybridMultilevel"/>
    <w:tmpl w:val="261C43A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396F15"/>
    <w:multiLevelType w:val="multilevel"/>
    <w:tmpl w:val="3BFEF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5">
    <w:nsid w:val="1AB71D30"/>
    <w:multiLevelType w:val="multilevel"/>
    <w:tmpl w:val="564AA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6">
    <w:nsid w:val="1D196E85"/>
    <w:multiLevelType w:val="multilevel"/>
    <w:tmpl w:val="065E8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7">
    <w:nsid w:val="28935AA5"/>
    <w:multiLevelType w:val="hybridMultilevel"/>
    <w:tmpl w:val="078A91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275B2"/>
    <w:multiLevelType w:val="hybridMultilevel"/>
    <w:tmpl w:val="E41467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0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1">
    <w:nsid w:val="56BA72E7"/>
    <w:multiLevelType w:val="multilevel"/>
    <w:tmpl w:val="564AA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2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76497"/>
    <w:multiLevelType w:val="hybridMultilevel"/>
    <w:tmpl w:val="39DADB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14"/>
  </w:num>
  <w:num w:numId="4">
    <w:abstractNumId w:val="10"/>
  </w:num>
  <w:num w:numId="5">
    <w:abstractNumId w:val="0"/>
  </w:num>
  <w:num w:numId="6">
    <w:abstractNumId w:val="5"/>
  </w:num>
  <w:num w:numId="7">
    <w:abstractNumId w:val="11"/>
  </w:num>
  <w:num w:numId="8">
    <w:abstractNumId w:val="4"/>
  </w:num>
  <w:num w:numId="9">
    <w:abstractNumId w:val="13"/>
  </w:num>
  <w:num w:numId="10">
    <w:abstractNumId w:val="7"/>
  </w:num>
  <w:num w:numId="11">
    <w:abstractNumId w:val="6"/>
  </w:num>
  <w:num w:numId="12">
    <w:abstractNumId w:val="8"/>
  </w:num>
  <w:num w:numId="13">
    <w:abstractNumId w:val="1"/>
  </w:num>
  <w:num w:numId="14">
    <w:abstractNumId w:val="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9362B"/>
    <w:rsid w:val="000C0CED"/>
    <w:rsid w:val="00117377"/>
    <w:rsid w:val="001211A0"/>
    <w:rsid w:val="0013284C"/>
    <w:rsid w:val="001338EC"/>
    <w:rsid w:val="00147A75"/>
    <w:rsid w:val="001C4E8B"/>
    <w:rsid w:val="001F127D"/>
    <w:rsid w:val="00215537"/>
    <w:rsid w:val="00245418"/>
    <w:rsid w:val="0026304F"/>
    <w:rsid w:val="00294C68"/>
    <w:rsid w:val="002A5295"/>
    <w:rsid w:val="002B47A1"/>
    <w:rsid w:val="002C25CC"/>
    <w:rsid w:val="00332045"/>
    <w:rsid w:val="0033636B"/>
    <w:rsid w:val="00364CE9"/>
    <w:rsid w:val="00376182"/>
    <w:rsid w:val="00377FB5"/>
    <w:rsid w:val="00387A3C"/>
    <w:rsid w:val="003A7272"/>
    <w:rsid w:val="003F3C78"/>
    <w:rsid w:val="00497791"/>
    <w:rsid w:val="004B05D5"/>
    <w:rsid w:val="005143D0"/>
    <w:rsid w:val="0054074F"/>
    <w:rsid w:val="0054353F"/>
    <w:rsid w:val="005471F6"/>
    <w:rsid w:val="005E6D7C"/>
    <w:rsid w:val="0065552C"/>
    <w:rsid w:val="006C2F09"/>
    <w:rsid w:val="006C4A03"/>
    <w:rsid w:val="006D1B72"/>
    <w:rsid w:val="00843EDA"/>
    <w:rsid w:val="008A3B0C"/>
    <w:rsid w:val="008C6D16"/>
    <w:rsid w:val="008C70EF"/>
    <w:rsid w:val="008E1BDD"/>
    <w:rsid w:val="008E57C5"/>
    <w:rsid w:val="008F05A5"/>
    <w:rsid w:val="0093085A"/>
    <w:rsid w:val="009823DD"/>
    <w:rsid w:val="009B291B"/>
    <w:rsid w:val="00A95990"/>
    <w:rsid w:val="00AB213C"/>
    <w:rsid w:val="00AE01B9"/>
    <w:rsid w:val="00B10469"/>
    <w:rsid w:val="00B37D3F"/>
    <w:rsid w:val="00BE6DFE"/>
    <w:rsid w:val="00BE7FC2"/>
    <w:rsid w:val="00BF3B2B"/>
    <w:rsid w:val="00CC1665"/>
    <w:rsid w:val="00D53697"/>
    <w:rsid w:val="00DC03D0"/>
    <w:rsid w:val="00DC2CEA"/>
    <w:rsid w:val="00DC7227"/>
    <w:rsid w:val="00DF4F78"/>
    <w:rsid w:val="00E23272"/>
    <w:rsid w:val="00E573FC"/>
    <w:rsid w:val="00F07B4A"/>
    <w:rsid w:val="00F30066"/>
    <w:rsid w:val="00F4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aliases w:val=" Car2,Footer Char, Car Char3, Car4 Char,Car2"/>
    <w:basedOn w:val="Standard"/>
    <w:uiPriority w:val="99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aliases w:val=" Car2 Car,Footer Char Car, Car Char3 Car, Car4 Char Car,Car2 Car"/>
    <w:basedOn w:val="Fuentedeprrafopredeter"/>
    <w:uiPriority w:val="99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aliases w:val=" Car2,Footer Char, Car Char3, Car4 Char,Car2"/>
    <w:basedOn w:val="Standard"/>
    <w:uiPriority w:val="99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aliases w:val=" Car2 Car,Footer Char Car, Car Char3 Car, Car4 Char Car,Car2 Car"/>
    <w:basedOn w:val="Fuentedeprrafopredeter"/>
    <w:uiPriority w:val="99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FCB59-2B2B-4BA0-B53E-1E3CDF491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612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2019-05-14T19:12:00Z</cp:lastPrinted>
  <dcterms:created xsi:type="dcterms:W3CDTF">2019-05-14T19:06:00Z</dcterms:created>
  <dcterms:modified xsi:type="dcterms:W3CDTF">2019-05-14T19:12:00Z</dcterms:modified>
</cp:coreProperties>
</file>