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Fecha, lugar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EL IMPULSO A LA INNOVACIÓN TECNOLÓGICA Y SUSTENTABILIDAD EN EL SECTOR AGROPECUARIO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H: Curriculum Vitae de cada capacitador o consultor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Redacción libre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