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Guadalajara, Jalisco,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MTRO. ALFONSO POMPA PADILLA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SECRETARIO DE INNOVACIÓN, CIENCIA Y TECNOLOGÍA DE JALISCO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medio de la presente reciba un cordial saludo y le informo que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“&lt;Razón social de institución postulante&gt;”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postula a &lt;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Nombre completo del candidato&gt;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que participe con la candidatura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individual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titulada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candidatura&gt;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en el Premio Estatal de Innovación, Ciencia y Tecnología, Jalisco 2022.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Asimismo, la institución avala que la propuesta a candidatura en la categoría de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categoría&gt;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cumple con todo lo solicitado por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&lt;Breve descripción del proyecto presentado en la candidatura, en donde se describa la relevancia del mismo&gt;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Finalmente, conforme al Artículo 21 fracciones II y III de la Ley de Transparencia y Acceso a la Información Pública del Estado de Jalisco y sus Municipios, manifiesto que la información y documentación del proyecto transferida a la SICyT con motivo de la presente convocatoria tiene carácter de confidencial.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Agradeciendo anticipadamente su atención, me complace reiterarles mi distinguida consideración y respeto.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Nombre y Firma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Puesto del Representante de la Institución (conforme a punto 3.2.1. de la convocatoria)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Razón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  <w:u w:val="single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u w:val="single"/>
        <w:rtl w:val="0"/>
      </w:rPr>
      <w:t xml:space="preserve">ELABORAR EN HOJA MEMBRETADA DE LA INSTITUCIÓN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rtl w:val="0"/>
      </w:rPr>
      <w:t xml:space="preserve">ANEXO A1. CARTA INSTITUCIONAL DE POSTULACIÓN (CANDIDATURA INDIVIDUAL)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334E"/>
    <w:pPr>
      <w:suppressAutoHyphens w:val="1"/>
      <w:spacing w:after="0" w:line="240" w:lineRule="auto"/>
    </w:pPr>
    <w:rPr>
      <w:rFonts w:ascii="Liberation Serif" w:cs="Liberation Serif" w:eastAsia="Liberation Serif" w:hAnsi="Liberation Serif"/>
      <w:sz w:val="24"/>
      <w:szCs w:val="24"/>
      <w:lang w:eastAsia="es-MX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73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7334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7334E"/>
    <w:rPr>
      <w:rFonts w:ascii="Liberation Serif" w:cs="Liberation Serif" w:eastAsia="Liberation Serif" w:hAnsi="Liberation Serif"/>
      <w:sz w:val="20"/>
      <w:szCs w:val="20"/>
      <w:lang w:eastAsia="es-MX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JJSba7is3rdkVacFp0VLVQIwA==">AMUW2mVQltUfSL5ij6E9boPd7jHQ0jsXgU7V1XdLH6RFn6Bi6AgNnYXablQbqlFjHFTayJiDM9npk1rTEKb9UwCHG4fKHFaYJkE02y4hb/Gjl2Diw3OhmBbgV5tyP4iLpJBJ20uPyzvy/YwdBzTI+th+iRtJQbETFVcizN5w/itBgcwPMNe3WjU=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2022-05-03T15:11:00Z</dcterms:created>
  <dc:creator>Facundo Montiel González</dc:creator>
</cp:coreProperties>
</file>