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i w:val="1"/>
          <w:color w:val="666666"/>
          <w:sz w:val="15"/>
          <w:szCs w:val="15"/>
        </w:rPr>
      </w:pPr>
      <w:r w:rsidDel="00000000" w:rsidR="00000000" w:rsidRPr="00000000">
        <w:rPr>
          <w:i w:val="1"/>
          <w:color w:val="666666"/>
          <w:sz w:val="15"/>
          <w:szCs w:val="15"/>
          <w:rtl w:val="0"/>
        </w:rPr>
        <w:t xml:space="preserve">(Desarrollar cada uno de los puntos; extensión total máximo 10 cuartillas )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MODELO DE NEGOCIOS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24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El problema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Acerca de los Servicios/ Productos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Características &amp; Componentes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Canales de Distribución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Modelo de Monetización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24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Propuesta de Valor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ANÁLISIS DE LA INDUSTRIA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24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Segmentación del Cliente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Tendencias del Mercado – Proyecciones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Evaluación Competitiva (Benchmarking)</w:t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ESTRATEGIA ACTUAL DE CRECIMIENTO Y EXPANSIÓN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afterAutospacing="0" w:before="24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Estrategia Actual /Go- to- Market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Plan de Expansión / Roadmap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FODA (Fortalezas, Oportunidades, Debilidades y Amenazas)</w:t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INFORMACIÓN FINANCIERA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 w:before="24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Punto de Equilibrio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TIR (Tasa Interna de Retorno)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after="24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Periodo de recuperación de la inversión</w:t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RECURSOS HUMANOS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spacing w:after="0" w:afterAutospacing="0" w:before="24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Equipo Directivo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after="24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Estructura Organizacional</w:t>
      </w:r>
    </w:p>
    <w:p w:rsidR="00000000" w:rsidDel="00000000" w:rsidP="00000000" w:rsidRDefault="00000000" w:rsidRPr="00000000" w14:paraId="00000021">
      <w:pPr>
        <w:spacing w:after="240" w:before="240" w:lineRule="auto"/>
        <w:ind w:left="0" w:firstLine="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TÉRMINOS DE LA INVERSIÓN O FINANCIAMIENTO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after="240" w:before="24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Capitalización y Rondas de Inversión (EN CASO DE APLICAR)</w:t>
      </w:r>
    </w:p>
    <w:p w:rsidR="00000000" w:rsidDel="00000000" w:rsidP="00000000" w:rsidRDefault="00000000" w:rsidRPr="00000000" w14:paraId="00000023">
      <w:pPr>
        <w:spacing w:after="240" w:before="240" w:lineRule="auto"/>
        <w:ind w:left="0" w:firstLine="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ASPECTOS LEGALES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spacing w:after="0" w:afterAutospacing="0" w:before="24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Régimen y obligaciones fiscales 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spacing w:after="240" w:before="0" w:beforeAutospacing="0" w:lineRule="auto"/>
        <w:ind w:left="1440" w:hanging="360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Propiedad Intelectual (EN CASO DE APLICAR)</w:t>
      </w:r>
    </w:p>
    <w:p w:rsidR="00000000" w:rsidDel="00000000" w:rsidP="00000000" w:rsidRDefault="00000000" w:rsidRPr="00000000" w14:paraId="00000026">
      <w:pPr>
        <w:rPr>
          <w:b w:val="1"/>
          <w:color w:val="666666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17.32283464566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pict>
        <v:shape id="WordPictureWatermark1" style="position:absolute;width:588.2677594914013pt;height:776.9852362204724pt;rotation:0;z-index:-503316481;mso-position-horizontal-relative:margin;mso-position-horizontal:absolute;margin-left:-72.1474491390415pt;mso-position-vertical-relative:margin;mso-position-vertical:absolute;margin-top:5.639763779527641pt;" alt="" type="#_x0000_t75">
          <v:imagedata cropbottom="316f" cropleft="0f" cropright="0f" croptop="-316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