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E" w:rsidRPr="00050F59" w:rsidRDefault="00814BDE" w:rsidP="00065609">
      <w:pPr>
        <w:jc w:val="both"/>
        <w:rPr>
          <w:rFonts w:ascii="Century Gothic" w:hAnsi="Century Gothic"/>
        </w:rPr>
      </w:pPr>
      <w:r w:rsidRPr="00050F59">
        <w:rPr>
          <w:rFonts w:ascii="Century Gothic" w:hAnsi="Century Gothic"/>
        </w:rPr>
        <w:t xml:space="preserve">El Gobierno del Estado de Jalisco, a través de la Secretaria de Agricultura y Desarrollo Rural (SADER): </w:t>
      </w:r>
    </w:p>
    <w:p w:rsidR="00814BDE" w:rsidRPr="00050F59" w:rsidRDefault="00814BDE" w:rsidP="00065609">
      <w:pPr>
        <w:jc w:val="center"/>
        <w:rPr>
          <w:rFonts w:ascii="Century Gothic" w:hAnsi="Century Gothic"/>
          <w:b/>
        </w:rPr>
      </w:pPr>
      <w:r w:rsidRPr="00050F59">
        <w:rPr>
          <w:rFonts w:ascii="Century Gothic" w:hAnsi="Century Gothic"/>
          <w:b/>
        </w:rPr>
        <w:t>CONVOCA:</w:t>
      </w:r>
    </w:p>
    <w:p w:rsidR="00814BDE" w:rsidRPr="00050F59" w:rsidRDefault="00814BDE" w:rsidP="00065609">
      <w:pPr>
        <w:jc w:val="both"/>
        <w:rPr>
          <w:rFonts w:ascii="Century Gothic" w:hAnsi="Century Gothic"/>
        </w:rPr>
      </w:pPr>
      <w:r w:rsidRPr="00050F59">
        <w:rPr>
          <w:rFonts w:ascii="Century Gothic" w:hAnsi="Century Gothic"/>
        </w:rPr>
        <w:t xml:space="preserve">A las </w:t>
      </w:r>
      <w:r w:rsidR="00E3160C" w:rsidRPr="00050F59">
        <w:rPr>
          <w:rFonts w:ascii="Century Gothic" w:hAnsi="Century Gothic"/>
        </w:rPr>
        <w:t xml:space="preserve">personas </w:t>
      </w:r>
      <w:r w:rsidR="000F4F29" w:rsidRPr="00050F59">
        <w:rPr>
          <w:rFonts w:ascii="Century Gothic" w:hAnsi="Century Gothic"/>
        </w:rPr>
        <w:t xml:space="preserve">físicas, </w:t>
      </w:r>
      <w:r w:rsidR="00E3160C" w:rsidRPr="00050F59">
        <w:rPr>
          <w:rFonts w:ascii="Century Gothic" w:hAnsi="Century Gothic"/>
        </w:rPr>
        <w:t>morales</w:t>
      </w:r>
      <w:r w:rsidR="000F4F29" w:rsidRPr="00050F59">
        <w:rPr>
          <w:rFonts w:ascii="Century Gothic" w:hAnsi="Century Gothic"/>
        </w:rPr>
        <w:t xml:space="preserve"> </w:t>
      </w:r>
      <w:r w:rsidR="000F4F29" w:rsidRPr="00050F59">
        <w:rPr>
          <w:rFonts w:ascii="Century Gothic" w:hAnsi="Century Gothic" w:cs="Arial"/>
          <w:color w:val="000000"/>
          <w:shd w:val="clear" w:color="auto" w:fill="FFFFFF"/>
        </w:rPr>
        <w:t>cooperativas,</w:t>
      </w:r>
      <w:r w:rsidR="00DF111C" w:rsidRPr="00050F59">
        <w:rPr>
          <w:rFonts w:ascii="Century Gothic" w:hAnsi="Century Gothic" w:cs="Arial"/>
          <w:color w:val="000000"/>
          <w:shd w:val="clear" w:color="auto" w:fill="FFFFFF"/>
        </w:rPr>
        <w:t>  asociaciones</w:t>
      </w:r>
      <w:r w:rsidR="000F4F29" w:rsidRPr="00050F59">
        <w:rPr>
          <w:rFonts w:ascii="Century Gothic" w:hAnsi="Century Gothic" w:cs="Arial"/>
          <w:color w:val="000000"/>
          <w:shd w:val="clear" w:color="auto" w:fill="FFFFFF"/>
        </w:rPr>
        <w:t xml:space="preserve">, universidades, </w:t>
      </w:r>
      <w:r w:rsidR="00E43600" w:rsidRPr="00050F59">
        <w:rPr>
          <w:rFonts w:ascii="Century Gothic" w:hAnsi="Century Gothic" w:cs="Arial"/>
          <w:color w:val="000000"/>
          <w:shd w:val="clear" w:color="auto" w:fill="FFFFFF"/>
        </w:rPr>
        <w:t>municipios</w:t>
      </w:r>
      <w:r w:rsidR="000F4F29" w:rsidRPr="00050F59">
        <w:rPr>
          <w:rFonts w:ascii="Century Gothic" w:hAnsi="Century Gothic" w:cs="Arial"/>
          <w:color w:val="000000"/>
          <w:shd w:val="clear" w:color="auto" w:fill="FFFFFF"/>
        </w:rPr>
        <w:t xml:space="preserve">, entre otros, </w:t>
      </w:r>
      <w:r w:rsidR="0091588C" w:rsidRPr="00050F59">
        <w:rPr>
          <w:rFonts w:ascii="Century Gothic" w:hAnsi="Century Gothic" w:cs="Arial"/>
          <w:color w:val="000000"/>
          <w:shd w:val="clear" w:color="auto" w:fill="FFFFFF"/>
        </w:rPr>
        <w:t>del sector agropecuario, acuícola y pesquero</w:t>
      </w:r>
      <w:r w:rsidR="0091588C" w:rsidRPr="00050F59">
        <w:rPr>
          <w:rFonts w:ascii="Century Gothic" w:hAnsi="Century Gothic"/>
        </w:rPr>
        <w:t>;  que</w:t>
      </w:r>
      <w:r w:rsidRPr="00050F59">
        <w:rPr>
          <w:rFonts w:ascii="Century Gothic" w:hAnsi="Century Gothic"/>
        </w:rPr>
        <w:t xml:space="preserve"> cumplan con los requisitos de elegibilidad establecidos en </w:t>
      </w:r>
      <w:r w:rsidR="0091588C" w:rsidRPr="00050F59">
        <w:rPr>
          <w:rFonts w:ascii="Century Gothic" w:hAnsi="Century Gothic"/>
        </w:rPr>
        <w:t>los lineamientos</w:t>
      </w:r>
      <w:r w:rsidRPr="00050F59">
        <w:rPr>
          <w:rFonts w:ascii="Century Gothic" w:hAnsi="Century Gothic"/>
        </w:rPr>
        <w:t xml:space="preserve"> del programa, para que present</w:t>
      </w:r>
      <w:r w:rsidR="00050F59" w:rsidRPr="00050F59">
        <w:rPr>
          <w:rFonts w:ascii="Century Gothic" w:hAnsi="Century Gothic"/>
        </w:rPr>
        <w:t xml:space="preserve">en en la ventanilla autorizada </w:t>
      </w:r>
      <w:r w:rsidRPr="00050F59">
        <w:rPr>
          <w:rFonts w:ascii="Century Gothic" w:hAnsi="Century Gothic"/>
        </w:rPr>
        <w:t xml:space="preserve">dentro de las fechas previstas en la presente convocatoria para participar en el </w:t>
      </w:r>
      <w:r w:rsidRPr="00050F59">
        <w:rPr>
          <w:rFonts w:ascii="Century Gothic" w:hAnsi="Century Gothic"/>
          <w:b/>
        </w:rPr>
        <w:t>“</w:t>
      </w:r>
      <w:r w:rsidR="00BB3127" w:rsidRPr="00050F59">
        <w:rPr>
          <w:rFonts w:ascii="Century Gothic" w:hAnsi="Century Gothic"/>
          <w:b/>
        </w:rPr>
        <w:t>PROGRAMA DE PROYECTOS ESTRATEGICOS AGROPECUARIOS</w:t>
      </w:r>
      <w:r w:rsidR="00065609" w:rsidRPr="00050F59">
        <w:rPr>
          <w:rFonts w:ascii="Century Gothic" w:hAnsi="Century Gothic"/>
          <w:b/>
        </w:rPr>
        <w:t>,</w:t>
      </w:r>
      <w:r w:rsidR="00BB3127" w:rsidRPr="00050F59">
        <w:rPr>
          <w:rFonts w:ascii="Century Gothic" w:hAnsi="Century Gothic"/>
          <w:b/>
        </w:rPr>
        <w:t xml:space="preserve"> ACUÍCOLAS Y PESQUEROS DEL ESTADO DE JALISCO, EJERCICIO 2022</w:t>
      </w:r>
      <w:r w:rsidRPr="00050F59">
        <w:rPr>
          <w:rFonts w:ascii="Century Gothic" w:hAnsi="Century Gothic"/>
          <w:b/>
        </w:rPr>
        <w:t>.</w:t>
      </w:r>
      <w:r w:rsidRPr="00050F59">
        <w:rPr>
          <w:rFonts w:ascii="Century Gothic" w:hAnsi="Century Gothic"/>
        </w:rPr>
        <w:t xml:space="preserve"> </w:t>
      </w:r>
    </w:p>
    <w:p w:rsidR="00EA046D" w:rsidRPr="00050F59" w:rsidRDefault="00EA046D" w:rsidP="00EA046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50F59">
        <w:rPr>
          <w:rFonts w:ascii="Century Gothic" w:hAnsi="Century Gothic"/>
          <w:b/>
        </w:rPr>
        <w:t xml:space="preserve">  OBJETIVO</w:t>
      </w:r>
    </w:p>
    <w:p w:rsidR="00F1193B" w:rsidRPr="00050F59" w:rsidRDefault="00F1193B" w:rsidP="00F1193B">
      <w:pPr>
        <w:pStyle w:val="Prrafodelista"/>
        <w:ind w:left="1080"/>
        <w:jc w:val="both"/>
        <w:rPr>
          <w:rFonts w:ascii="Century Gothic" w:hAnsi="Century Gothic" w:cs="Arial"/>
          <w:color w:val="000000"/>
          <w:bdr w:val="none" w:sz="0" w:space="0" w:color="auto" w:frame="1"/>
        </w:rPr>
      </w:pPr>
      <w:r w:rsidRPr="00050F59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I</w:t>
      </w:r>
      <w:r w:rsidRPr="00050F59">
        <w:rPr>
          <w:rFonts w:ascii="Century Gothic" w:hAnsi="Century Gothic" w:cs="Arial"/>
          <w:color w:val="000000"/>
          <w:bdr w:val="none" w:sz="0" w:space="0" w:color="auto" w:frame="1"/>
        </w:rPr>
        <w:t>ncrementar la productividad en las cadenas agropecuarias, acuícolas y pesqueras que dan valor agregado a los productos primarios, modernizando las unidades productivas a través de infraestructura y equipamiento, con el fin de fomentar la innovación y el desarrollo científico agroalimentario, con el fin de contribuir en el  desarrollo económico de las regiones.</w:t>
      </w:r>
    </w:p>
    <w:p w:rsidR="00F1193B" w:rsidRPr="00050F59" w:rsidRDefault="00F1193B" w:rsidP="00F1193B">
      <w:pPr>
        <w:pStyle w:val="Prrafodelista"/>
        <w:ind w:left="1080"/>
        <w:jc w:val="both"/>
        <w:rPr>
          <w:rFonts w:ascii="Century Gothic" w:hAnsi="Century Gothic"/>
          <w:b/>
        </w:rPr>
      </w:pPr>
    </w:p>
    <w:p w:rsidR="00BD7A4B" w:rsidRPr="00050F59" w:rsidRDefault="00EA046D" w:rsidP="005D065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50F59">
        <w:rPr>
          <w:rFonts w:ascii="Century Gothic" w:hAnsi="Century Gothic"/>
          <w:b/>
        </w:rPr>
        <w:t>CONCEPTO DE APOYO</w:t>
      </w:r>
    </w:p>
    <w:p w:rsidR="00F1193B" w:rsidRPr="00050F59" w:rsidRDefault="00F1193B" w:rsidP="00050F59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b/>
          <w:bCs/>
          <w:color w:val="000000"/>
          <w:bdr w:val="none" w:sz="0" w:space="0" w:color="auto" w:frame="1"/>
          <w:lang w:val="es-ES" w:eastAsia="es-MX"/>
        </w:rPr>
        <w:br/>
        <w:t>Componente 1:</w:t>
      </w: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1.       Apoyo económico para modernización de unidades productivas y/o valor agregado, a través de infraestructura, equipamiento y adquisición de material biológico y/o genético.</w:t>
      </w:r>
    </w:p>
    <w:p w:rsidR="00050F59" w:rsidRDefault="00050F59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</w:pP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a)      El apoyo económico será de hasta el 100% con un tope de hasta $6,000.000.00 (seis millones de pesos M.N).</w:t>
      </w:r>
    </w:p>
    <w:p w:rsidR="001A6567" w:rsidRPr="00050F59" w:rsidRDefault="001A6567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bdr w:val="none" w:sz="0" w:space="0" w:color="auto" w:frame="1"/>
          <w:lang w:val="es-ES" w:eastAsia="es-MX"/>
        </w:rPr>
      </w:pP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b/>
          <w:bCs/>
          <w:color w:val="000000"/>
          <w:bdr w:val="none" w:sz="0" w:space="0" w:color="auto" w:frame="1"/>
          <w:lang w:val="es-ES" w:eastAsia="es-MX"/>
        </w:rPr>
        <w:t>Componente 2:</w:t>
      </w: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1.       Apoyo económico para el fomento a la educación y responsabilidad ambiental de las actividades primarias; la seguridad alimentaria; el mejoramiento de espacios para la  promoción de acciones que contribuyan a la sustentabilidad del campo.</w:t>
      </w: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a)      El apoyo económico será de hasta el 100% con un tope de hasta $3</w:t>
      </w:r>
      <w:proofErr w:type="gramStart"/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,000,000.00</w:t>
      </w:r>
      <w:proofErr w:type="gramEnd"/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 xml:space="preserve"> (tres millones de pesos M.N)</w:t>
      </w:r>
    </w:p>
    <w:p w:rsidR="001A6567" w:rsidRPr="00050F59" w:rsidRDefault="001A6567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bdr w:val="none" w:sz="0" w:space="0" w:color="auto" w:frame="1"/>
          <w:lang w:val="es-ES" w:eastAsia="es-MX"/>
        </w:rPr>
      </w:pP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b/>
          <w:bCs/>
          <w:color w:val="000000"/>
          <w:bdr w:val="none" w:sz="0" w:space="0" w:color="auto" w:frame="1"/>
          <w:lang w:val="es-ES" w:eastAsia="es-MX"/>
        </w:rPr>
        <w:t>Componente 3:</w:t>
      </w: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1.       Apoyo económico para Ferias y exposiciones locales, nacionales e Internacionales que promuevan el liderazgo de las cadenas agroalimentarias de Jalisco.</w:t>
      </w: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a)      Apoyo económico de hasta el 100% con un tope de hasta $3</w:t>
      </w:r>
      <w:proofErr w:type="gramStart"/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,000,000.00</w:t>
      </w:r>
      <w:proofErr w:type="gramEnd"/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 xml:space="preserve"> (tres millones de pesos M.N)</w:t>
      </w: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b/>
          <w:bCs/>
          <w:color w:val="000000"/>
          <w:bdr w:val="none" w:sz="0" w:space="0" w:color="auto" w:frame="1"/>
          <w:lang w:val="es-ES" w:eastAsia="es-MX"/>
        </w:rPr>
        <w:t>Componente 4:</w:t>
      </w: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lastRenderedPageBreak/>
        <w:t>1.       Apoyo económico para el desarrollo y mejoramiento de semillas, así como la implementación de cultivos experimentales, establecimiento de  parcelas demostrativas, análisis de suelos e investigación y desarrollo de cadenas productivas.</w:t>
      </w:r>
    </w:p>
    <w:p w:rsidR="00050F59" w:rsidRDefault="00050F59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</w:pPr>
    </w:p>
    <w:p w:rsidR="00F1193B" w:rsidRPr="00050F59" w:rsidRDefault="00F1193B" w:rsidP="001A6567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Century Gothic" w:eastAsia="Times New Roman" w:hAnsi="Century Gothic" w:cs="Arial"/>
          <w:color w:val="000000"/>
          <w:lang w:eastAsia="es-MX"/>
        </w:rPr>
      </w:pPr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a)      El apoyo económico será de hasta el 100% con un tope de hasta $3</w:t>
      </w:r>
      <w:proofErr w:type="gramStart"/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>,000,000.00</w:t>
      </w:r>
      <w:proofErr w:type="gramEnd"/>
      <w:r w:rsidRPr="00050F59">
        <w:rPr>
          <w:rFonts w:ascii="Century Gothic" w:eastAsia="Times New Roman" w:hAnsi="Century Gothic" w:cs="Arial"/>
          <w:color w:val="000000"/>
          <w:bdr w:val="none" w:sz="0" w:space="0" w:color="auto" w:frame="1"/>
          <w:lang w:val="es-ES" w:eastAsia="es-MX"/>
        </w:rPr>
        <w:t xml:space="preserve"> (tres millones de pesos M.N)</w:t>
      </w:r>
    </w:p>
    <w:p w:rsidR="00831758" w:rsidRPr="00050F59" w:rsidRDefault="00831758" w:rsidP="00050F59">
      <w:pPr>
        <w:jc w:val="both"/>
        <w:rPr>
          <w:rFonts w:ascii="Century Gothic" w:hAnsi="Century Gothic"/>
          <w:b/>
        </w:rPr>
      </w:pPr>
    </w:p>
    <w:p w:rsidR="00EA046D" w:rsidRPr="00050F59" w:rsidRDefault="00EA046D" w:rsidP="00EA046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50F59">
        <w:rPr>
          <w:rFonts w:ascii="Century Gothic" w:hAnsi="Century Gothic"/>
          <w:b/>
        </w:rPr>
        <w:t>VENTANILLA AUTORIZADA</w:t>
      </w:r>
    </w:p>
    <w:p w:rsidR="00DA307E" w:rsidRPr="00050F59" w:rsidRDefault="00DA307E" w:rsidP="00DA307E">
      <w:pPr>
        <w:pStyle w:val="Prrafodelista"/>
        <w:ind w:left="1080"/>
        <w:jc w:val="both"/>
        <w:rPr>
          <w:rFonts w:ascii="Century Gothic" w:hAnsi="Century Gothic"/>
        </w:rPr>
      </w:pPr>
      <w:r w:rsidRPr="00050F59">
        <w:rPr>
          <w:rFonts w:ascii="Century Gothic" w:hAnsi="Century Gothic"/>
        </w:rPr>
        <w:t xml:space="preserve">Las ventanillas estarán habilitadas </w:t>
      </w:r>
      <w:r w:rsidR="00C175C9">
        <w:rPr>
          <w:rFonts w:ascii="Century Gothic" w:hAnsi="Century Gothic"/>
        </w:rPr>
        <w:t xml:space="preserve">del </w:t>
      </w:r>
      <w:r w:rsidR="00831758" w:rsidRPr="00050F59">
        <w:rPr>
          <w:rFonts w:ascii="Century Gothic" w:hAnsi="Century Gothic"/>
        </w:rPr>
        <w:t xml:space="preserve"> </w:t>
      </w:r>
      <w:r w:rsidR="00C175C9">
        <w:rPr>
          <w:rFonts w:ascii="Century Gothic" w:hAnsi="Century Gothic"/>
        </w:rPr>
        <w:t>01 al 03</w:t>
      </w:r>
      <w:r w:rsidR="00831758" w:rsidRPr="00050F59">
        <w:rPr>
          <w:rFonts w:ascii="Century Gothic" w:hAnsi="Century Gothic"/>
        </w:rPr>
        <w:t xml:space="preserve"> de </w:t>
      </w:r>
      <w:r w:rsidR="00C175C9">
        <w:rPr>
          <w:rFonts w:ascii="Century Gothic" w:hAnsi="Century Gothic"/>
        </w:rPr>
        <w:t xml:space="preserve">junio al </w:t>
      </w:r>
      <w:r w:rsidR="00831758" w:rsidRPr="00050F59">
        <w:rPr>
          <w:rFonts w:ascii="Century Gothic" w:hAnsi="Century Gothic"/>
        </w:rPr>
        <w:t xml:space="preserve">del </w:t>
      </w:r>
      <w:r w:rsidRPr="00050F59">
        <w:rPr>
          <w:rFonts w:ascii="Century Gothic" w:hAnsi="Century Gothic"/>
        </w:rPr>
        <w:t>2022 con un horario de atención de 9:30 a 15:30 horas.</w:t>
      </w:r>
      <w:bookmarkStart w:id="0" w:name="_GoBack"/>
      <w:bookmarkEnd w:id="0"/>
    </w:p>
    <w:tbl>
      <w:tblPr>
        <w:tblStyle w:val="Tablaconcuadrcula"/>
        <w:tblW w:w="90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201"/>
        <w:gridCol w:w="2403"/>
        <w:gridCol w:w="3169"/>
      </w:tblGrid>
      <w:tr w:rsidR="004F04CD" w:rsidRPr="00050F59" w:rsidTr="004F04CD">
        <w:trPr>
          <w:trHeight w:val="315"/>
        </w:trPr>
        <w:tc>
          <w:tcPr>
            <w:tcW w:w="1275" w:type="dxa"/>
          </w:tcPr>
          <w:p w:rsidR="002F66A5" w:rsidRPr="00050F59" w:rsidRDefault="002F66A5" w:rsidP="00DA307E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050F59">
              <w:rPr>
                <w:rFonts w:ascii="Century Gothic" w:hAnsi="Century Gothic"/>
                <w:b/>
              </w:rPr>
              <w:t>SEDE</w:t>
            </w:r>
          </w:p>
        </w:tc>
        <w:tc>
          <w:tcPr>
            <w:tcW w:w="2201" w:type="dxa"/>
          </w:tcPr>
          <w:p w:rsidR="002F66A5" w:rsidRPr="00050F59" w:rsidRDefault="002F66A5" w:rsidP="00DA307E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050F59">
              <w:rPr>
                <w:rFonts w:ascii="Century Gothic" w:hAnsi="Century Gothic"/>
                <w:b/>
              </w:rPr>
              <w:t>DIRECCIÓN</w:t>
            </w:r>
          </w:p>
        </w:tc>
        <w:tc>
          <w:tcPr>
            <w:tcW w:w="2403" w:type="dxa"/>
          </w:tcPr>
          <w:p w:rsidR="002F66A5" w:rsidRPr="00050F59" w:rsidRDefault="002F66A5" w:rsidP="00DA307E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050F59">
              <w:rPr>
                <w:rFonts w:ascii="Century Gothic" w:hAnsi="Century Gothic"/>
                <w:b/>
              </w:rPr>
              <w:t>MUNICIPIO</w:t>
            </w:r>
          </w:p>
        </w:tc>
        <w:tc>
          <w:tcPr>
            <w:tcW w:w="3169" w:type="dxa"/>
          </w:tcPr>
          <w:p w:rsidR="002F66A5" w:rsidRPr="00050F59" w:rsidRDefault="002F66A5" w:rsidP="00DA307E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050F59">
              <w:rPr>
                <w:rFonts w:ascii="Century Gothic" w:hAnsi="Century Gothic"/>
                <w:b/>
              </w:rPr>
              <w:t>UBICACIÓN</w:t>
            </w:r>
          </w:p>
        </w:tc>
      </w:tr>
      <w:tr w:rsidR="004F04CD" w:rsidRPr="00050F59" w:rsidTr="004F04CD">
        <w:trPr>
          <w:trHeight w:val="1551"/>
        </w:trPr>
        <w:tc>
          <w:tcPr>
            <w:tcW w:w="1275" w:type="dxa"/>
          </w:tcPr>
          <w:p w:rsidR="002F66A5" w:rsidRPr="00050F59" w:rsidRDefault="002F66A5" w:rsidP="00DA307E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050F59">
              <w:rPr>
                <w:rFonts w:ascii="Century Gothic" w:hAnsi="Century Gothic"/>
              </w:rPr>
              <w:t>SADER Jalisco</w:t>
            </w:r>
          </w:p>
        </w:tc>
        <w:tc>
          <w:tcPr>
            <w:tcW w:w="2201" w:type="dxa"/>
          </w:tcPr>
          <w:p w:rsidR="002F66A5" w:rsidRPr="00050F59" w:rsidRDefault="002F66A5" w:rsidP="002F66A5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050F59">
              <w:rPr>
                <w:rFonts w:ascii="Century Gothic" w:hAnsi="Century Gothic"/>
              </w:rPr>
              <w:t>Av. Miguel Hidalgo #1435, colonia Americana, CP 44100</w:t>
            </w:r>
          </w:p>
        </w:tc>
        <w:tc>
          <w:tcPr>
            <w:tcW w:w="2403" w:type="dxa"/>
          </w:tcPr>
          <w:p w:rsidR="004F04CD" w:rsidRPr="00050F59" w:rsidRDefault="004F04CD" w:rsidP="00DA307E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</w:p>
          <w:p w:rsidR="002F66A5" w:rsidRPr="00050F59" w:rsidRDefault="002F66A5" w:rsidP="00DA307E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050F59">
              <w:rPr>
                <w:rFonts w:ascii="Century Gothic" w:hAnsi="Century Gothic"/>
              </w:rPr>
              <w:t>Guadalajara</w:t>
            </w:r>
          </w:p>
        </w:tc>
        <w:tc>
          <w:tcPr>
            <w:tcW w:w="3169" w:type="dxa"/>
          </w:tcPr>
          <w:p w:rsidR="002F66A5" w:rsidRPr="00050F59" w:rsidRDefault="00756516" w:rsidP="00DA307E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hyperlink r:id="rId8" w:history="1">
              <w:r w:rsidR="004F04CD" w:rsidRPr="00050F59">
                <w:rPr>
                  <w:rStyle w:val="Hipervnculo"/>
                  <w:rFonts w:ascii="Century Gothic" w:hAnsi="Century Gothic"/>
                </w:rPr>
                <w:t>https://goo.gl/maps/M1EDs9h36nv3e8Z29</w:t>
              </w:r>
            </w:hyperlink>
            <w:r w:rsidR="004F04CD" w:rsidRPr="00050F59">
              <w:rPr>
                <w:rFonts w:ascii="Century Gothic" w:hAnsi="Century Gothic"/>
              </w:rPr>
              <w:t xml:space="preserve"> </w:t>
            </w:r>
          </w:p>
        </w:tc>
      </w:tr>
    </w:tbl>
    <w:p w:rsidR="002F66A5" w:rsidRPr="00050F59" w:rsidRDefault="002F66A5" w:rsidP="00DA307E">
      <w:pPr>
        <w:pStyle w:val="Prrafodelista"/>
        <w:ind w:left="1080"/>
        <w:jc w:val="both"/>
        <w:rPr>
          <w:rFonts w:ascii="Century Gothic" w:hAnsi="Century Gothic"/>
        </w:rPr>
      </w:pPr>
    </w:p>
    <w:p w:rsidR="004F04CD" w:rsidRPr="00AE7553" w:rsidRDefault="00EA046D" w:rsidP="00AE755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50F59">
        <w:rPr>
          <w:rFonts w:ascii="Century Gothic" w:hAnsi="Century Gothic"/>
          <w:b/>
        </w:rPr>
        <w:t xml:space="preserve">REQUISITOS </w:t>
      </w:r>
    </w:p>
    <w:p w:rsidR="00EC6439" w:rsidRPr="00EC6439" w:rsidRDefault="00EC6439" w:rsidP="00EC6439">
      <w:pPr>
        <w:spacing w:after="0" w:line="240" w:lineRule="auto"/>
        <w:ind w:left="708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b/>
          <w:bCs/>
          <w:color w:val="000000"/>
          <w:lang w:val="es-ES" w:eastAsia="es-MX"/>
        </w:rPr>
        <w:t>Para personas Físicas: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a) Solicitud de apoyo (Anexo 1);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b) Identificación oficial vigente (Credencial para Votar, Pasaporte);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c) CURP (en los casos en que la identificación oficial contenga la CURP, no será necesario presentar esta);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d) Comprobante de Domicilio para Recibir Notificaciones (luz, agua, teléfono);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e) Constancia de Situación Fiscal (RFC);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f) Formato 32-D Opinión positiva del SAT;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g) Proyecto;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h) Cotización de la inversión a realizar;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i) Constancia del propiedad o posesión del predio que cumplan con los requisitos legales correspondientes (este requisito no aplica para el componente 3 y 4)</w:t>
      </w:r>
    </w:p>
    <w:p w:rsidR="00EC6439" w:rsidRPr="00EC6439" w:rsidRDefault="00EC6439" w:rsidP="00EC6439">
      <w:pPr>
        <w:spacing w:after="0" w:line="240" w:lineRule="auto"/>
        <w:ind w:left="708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 </w:t>
      </w:r>
    </w:p>
    <w:p w:rsidR="00EC6439" w:rsidRPr="00EC6439" w:rsidRDefault="00EC6439" w:rsidP="00EC6439">
      <w:pPr>
        <w:spacing w:after="0" w:line="240" w:lineRule="auto"/>
        <w:ind w:left="708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b/>
          <w:bCs/>
          <w:color w:val="000000"/>
          <w:lang w:val="es-ES" w:eastAsia="es-MX"/>
        </w:rPr>
        <w:t>Para personas Morales: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a) Solicitud de apoyo (Anexo 1)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b) Acta Constitutiva, así como, el instrumento jurídico con el que acredite su personalidad el o la representante legal, ambos instrumentos deberán estar debidamente protocolizados ante Notario Público e inscritos en el Registro Público de la Propiedad correspondiente;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c) Identificación oficial vigente de la persona que se ostente como representante legal;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d) Constancia de Situación Fiscal (RFC) de la persona moral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e) Formato 32-D Opinión positiva del SAT;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f) Proyecto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lastRenderedPageBreak/>
        <w:t>g) Cotización de la inversión a realizar;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 xml:space="preserve">h) </w:t>
      </w:r>
      <w:r w:rsidRPr="00EC6439">
        <w:rPr>
          <w:rFonts w:ascii="Century Gothic" w:eastAsia="Times New Roman" w:hAnsi="Century Gothic" w:cstheme="minorHAnsi"/>
          <w:color w:val="000000"/>
          <w:lang w:eastAsia="es-MX"/>
        </w:rPr>
        <w:t>Constancia del propiedad o posesión del predio que cumplan con los requisitos legales correspondientes (este requisito no aplica para el componente 3 y 4)</w:t>
      </w:r>
    </w:p>
    <w:p w:rsidR="00EC6439" w:rsidRPr="00EC6439" w:rsidRDefault="00EC6439" w:rsidP="00EC6439">
      <w:pPr>
        <w:spacing w:after="0" w:line="240" w:lineRule="auto"/>
        <w:ind w:left="1068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 </w:t>
      </w:r>
    </w:p>
    <w:p w:rsidR="00EC6439" w:rsidRPr="00EC6439" w:rsidRDefault="00EC6439" w:rsidP="00EC6439">
      <w:pPr>
        <w:spacing w:after="0" w:line="240" w:lineRule="auto"/>
        <w:ind w:left="708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 </w:t>
      </w:r>
    </w:p>
    <w:p w:rsidR="00EC6439" w:rsidRPr="00EC6439" w:rsidRDefault="00EC6439" w:rsidP="00EC6439">
      <w:pPr>
        <w:spacing w:after="0" w:line="240" w:lineRule="auto"/>
        <w:ind w:left="708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b/>
          <w:bCs/>
          <w:color w:val="000000"/>
          <w:lang w:val="es-ES" w:eastAsia="es-MX"/>
        </w:rPr>
        <w:t>Para Municipios: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a) Solicitud de apoyo (Anexo 1)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b) Copia certificada del acta de cabildo, donde se autoriza al Presidente Municipal, Síndico y Responsable de la Hacienda Pública a firmar convenios con la SADER y participar en el programa.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c) Copias simples de Identificación oficial de Presidente Municipal, Síndico y Encargado de la Hacienda Pública Municipal, pudiendo ser cualquiera de las siguientes: Credencial de INE vigente, Pasaporte Vigente.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d) Comprobante de domicilio para recibir notificaciones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e) Constancia de Situación fiscal del Municipio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f) Formato 32-D del SAT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g) Proyecto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>h) Cotización de la inversión a realizar;</w:t>
      </w:r>
    </w:p>
    <w:p w:rsidR="00EC6439" w:rsidRPr="00EC6439" w:rsidRDefault="00EC6439" w:rsidP="00EC6439">
      <w:pPr>
        <w:spacing w:after="0" w:line="240" w:lineRule="auto"/>
        <w:ind w:left="1428" w:hanging="360"/>
        <w:jc w:val="both"/>
        <w:rPr>
          <w:rFonts w:ascii="Century Gothic" w:eastAsia="Times New Roman" w:hAnsi="Century Gothic" w:cstheme="minorHAnsi"/>
          <w:color w:val="000000"/>
          <w:lang w:eastAsia="es-MX"/>
        </w:rPr>
      </w:pPr>
      <w:r w:rsidRPr="00EC6439">
        <w:rPr>
          <w:rFonts w:ascii="Century Gothic" w:eastAsia="Times New Roman" w:hAnsi="Century Gothic" w:cstheme="minorHAnsi"/>
          <w:color w:val="000000"/>
          <w:lang w:val="es-ES" w:eastAsia="es-MX"/>
        </w:rPr>
        <w:t xml:space="preserve">i) </w:t>
      </w:r>
      <w:r w:rsidRPr="00EC6439">
        <w:rPr>
          <w:rFonts w:ascii="Century Gothic" w:eastAsia="Times New Roman" w:hAnsi="Century Gothic" w:cstheme="minorHAnsi"/>
          <w:color w:val="000000"/>
          <w:lang w:eastAsia="es-MX"/>
        </w:rPr>
        <w:t>Constancia del propiedad o posesión del predio que cumplan con los requisitos legales correspondientes (este requisito no aplica para el componente 3 y 4)</w:t>
      </w:r>
    </w:p>
    <w:p w:rsidR="00EC6439" w:rsidRPr="00050F59" w:rsidRDefault="00EC6439" w:rsidP="004F04CD">
      <w:pPr>
        <w:pStyle w:val="Prrafodelista"/>
        <w:ind w:left="1080"/>
        <w:jc w:val="both"/>
        <w:rPr>
          <w:rFonts w:ascii="Century Gothic" w:hAnsi="Century Gothic"/>
        </w:rPr>
      </w:pPr>
    </w:p>
    <w:p w:rsidR="004F04CD" w:rsidRPr="00050F59" w:rsidRDefault="004F04CD" w:rsidP="004F04CD">
      <w:pPr>
        <w:pStyle w:val="Prrafodelista"/>
        <w:ind w:left="1080"/>
        <w:jc w:val="both"/>
        <w:rPr>
          <w:rFonts w:ascii="Century Gothic" w:hAnsi="Century Gothic"/>
        </w:rPr>
      </w:pPr>
    </w:p>
    <w:p w:rsidR="002A0A65" w:rsidRPr="00050F59" w:rsidRDefault="00BD7A4B" w:rsidP="005D065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50F59">
        <w:rPr>
          <w:rFonts w:ascii="Century Gothic" w:hAnsi="Century Gothic"/>
          <w:b/>
        </w:rPr>
        <w:t>COVERTURA DEL PROGRAMA</w:t>
      </w:r>
    </w:p>
    <w:p w:rsidR="002A0A65" w:rsidRPr="00050F59" w:rsidRDefault="002A0A65" w:rsidP="002A0A65">
      <w:pPr>
        <w:pStyle w:val="Prrafodelista"/>
        <w:ind w:left="1080"/>
        <w:jc w:val="both"/>
        <w:rPr>
          <w:rFonts w:ascii="Century Gothic" w:hAnsi="Century Gothic"/>
        </w:rPr>
      </w:pPr>
      <w:r w:rsidRPr="00050F59">
        <w:rPr>
          <w:rFonts w:ascii="Century Gothic" w:hAnsi="Century Gothic" w:cs="Arial"/>
          <w:color w:val="000000"/>
          <w:shd w:val="clear" w:color="auto" w:fill="FFFFFF"/>
        </w:rPr>
        <w:t>La cobertura geográfica del presente programa es estatal de aplicación en los 125 municipios del Estado de Jalisco.</w:t>
      </w:r>
    </w:p>
    <w:p w:rsidR="002A0A65" w:rsidRPr="00050F59" w:rsidRDefault="002A0A65" w:rsidP="002A0A65">
      <w:pPr>
        <w:pStyle w:val="Prrafodelista"/>
        <w:ind w:left="1080"/>
        <w:jc w:val="both"/>
        <w:rPr>
          <w:rFonts w:ascii="Century Gothic" w:hAnsi="Century Gothic"/>
        </w:rPr>
      </w:pPr>
    </w:p>
    <w:p w:rsidR="00BD7A4B" w:rsidRPr="00050F59" w:rsidRDefault="00BD7A4B" w:rsidP="00EA046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050F59">
        <w:rPr>
          <w:rFonts w:ascii="Century Gothic" w:hAnsi="Century Gothic"/>
          <w:b/>
        </w:rPr>
        <w:t xml:space="preserve">MAYORES INFORMES </w:t>
      </w:r>
    </w:p>
    <w:p w:rsidR="002A0A65" w:rsidRPr="00050F59" w:rsidRDefault="002A0A65" w:rsidP="005D0653">
      <w:pPr>
        <w:ind w:left="1080"/>
        <w:jc w:val="both"/>
        <w:rPr>
          <w:rFonts w:ascii="Century Gothic" w:hAnsi="Century Gothic"/>
        </w:rPr>
      </w:pPr>
      <w:r w:rsidRPr="00050F59">
        <w:rPr>
          <w:rFonts w:ascii="Century Gothic" w:hAnsi="Century Gothic"/>
        </w:rPr>
        <w:t>Para mayores informes</w:t>
      </w:r>
      <w:r w:rsidR="001C1973" w:rsidRPr="00050F59">
        <w:rPr>
          <w:rFonts w:ascii="Century Gothic" w:hAnsi="Century Gothic"/>
        </w:rPr>
        <w:t xml:space="preserve"> los interesados deberán dirigirse a las oficinas que ocupa la Dirección </w:t>
      </w:r>
      <w:r w:rsidR="00237756" w:rsidRPr="00050F59">
        <w:rPr>
          <w:rFonts w:ascii="Century Gothic" w:hAnsi="Century Gothic"/>
        </w:rPr>
        <w:t>General de Desarrollo Económico</w:t>
      </w:r>
      <w:r w:rsidR="001C1973" w:rsidRPr="00050F59">
        <w:rPr>
          <w:rFonts w:ascii="Century Gothic" w:hAnsi="Century Gothic"/>
        </w:rPr>
        <w:t xml:space="preserve">  de la Secretaría de Agricultura</w:t>
      </w:r>
      <w:r w:rsidR="000A44CC" w:rsidRPr="00050F59">
        <w:rPr>
          <w:rFonts w:ascii="Century Gothic" w:hAnsi="Century Gothic"/>
        </w:rPr>
        <w:t xml:space="preserve"> y Desarrollo Rural, o a la página web o número de teléfonos que se indican a continuación: </w:t>
      </w:r>
    </w:p>
    <w:p w:rsidR="00E00607" w:rsidRPr="00050F59" w:rsidRDefault="00E00607" w:rsidP="002A0A65">
      <w:pPr>
        <w:pStyle w:val="Prrafodelista"/>
        <w:ind w:left="1080"/>
        <w:jc w:val="both"/>
        <w:rPr>
          <w:rFonts w:ascii="Century Gothic" w:hAnsi="Century Gothic"/>
        </w:rPr>
      </w:pPr>
    </w:p>
    <w:p w:rsidR="00E00607" w:rsidRPr="00050F59" w:rsidRDefault="00E00607" w:rsidP="00E00607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050F59">
        <w:rPr>
          <w:rFonts w:ascii="Century Gothic" w:hAnsi="Century Gothic"/>
        </w:rPr>
        <w:t xml:space="preserve">Página electrónica de la Secretaría de Agricultura y Desarrollo Rural – </w:t>
      </w:r>
    </w:p>
    <w:p w:rsidR="00E00607" w:rsidRPr="00050F59" w:rsidRDefault="00E00607" w:rsidP="00E00607">
      <w:pPr>
        <w:pStyle w:val="Prrafodelista"/>
        <w:ind w:left="1800"/>
        <w:jc w:val="both"/>
        <w:rPr>
          <w:rFonts w:ascii="Century Gothic" w:hAnsi="Century Gothic"/>
        </w:rPr>
      </w:pPr>
      <w:r w:rsidRPr="00050F59">
        <w:rPr>
          <w:rFonts w:ascii="Century Gothic" w:hAnsi="Century Gothic"/>
        </w:rPr>
        <w:t xml:space="preserve"> </w:t>
      </w:r>
      <w:hyperlink r:id="rId9" w:history="1">
        <w:r w:rsidRPr="00050F59">
          <w:rPr>
            <w:rStyle w:val="Hipervnculo"/>
            <w:rFonts w:ascii="Century Gothic" w:hAnsi="Century Gothic"/>
          </w:rPr>
          <w:t>https://sader.jalisco.gob.mx/</w:t>
        </w:r>
      </w:hyperlink>
      <w:r w:rsidRPr="00050F59">
        <w:rPr>
          <w:rFonts w:ascii="Century Gothic" w:hAnsi="Century Gothic"/>
        </w:rPr>
        <w:t xml:space="preserve"> </w:t>
      </w:r>
    </w:p>
    <w:p w:rsidR="003A3CE0" w:rsidRPr="00050F59" w:rsidRDefault="003A3CE0" w:rsidP="003A3CE0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050F59">
        <w:rPr>
          <w:rFonts w:ascii="Century Gothic" w:hAnsi="Century Gothic"/>
        </w:rPr>
        <w:t xml:space="preserve">A los </w:t>
      </w:r>
      <w:r w:rsidR="00362DE6" w:rsidRPr="00050F59">
        <w:rPr>
          <w:rFonts w:ascii="Century Gothic" w:hAnsi="Century Gothic"/>
        </w:rPr>
        <w:t>teléfonos</w:t>
      </w:r>
      <w:r w:rsidRPr="00050F59">
        <w:rPr>
          <w:rFonts w:ascii="Century Gothic" w:hAnsi="Century Gothic"/>
        </w:rPr>
        <w:t xml:space="preserve"> 30300600 ext.  </w:t>
      </w:r>
      <w:r w:rsidR="00237756" w:rsidRPr="00050F59">
        <w:rPr>
          <w:rFonts w:ascii="Century Gothic" w:hAnsi="Century Gothic"/>
        </w:rPr>
        <w:t xml:space="preserve">56123, </w:t>
      </w:r>
      <w:r w:rsidRPr="00050F59">
        <w:rPr>
          <w:rFonts w:ascii="Century Gothic" w:hAnsi="Century Gothic"/>
        </w:rPr>
        <w:t>56</w:t>
      </w:r>
      <w:r w:rsidR="00F1193B" w:rsidRPr="00050F59">
        <w:rPr>
          <w:rFonts w:ascii="Century Gothic" w:hAnsi="Century Gothic"/>
        </w:rPr>
        <w:t xml:space="preserve">122, 56688, 56671 y la </w:t>
      </w:r>
    </w:p>
    <w:sectPr w:rsidR="003A3CE0" w:rsidRPr="00050F59" w:rsidSect="00065609">
      <w:foot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16" w:rsidRDefault="00756516" w:rsidP="0004441B">
      <w:pPr>
        <w:spacing w:after="0" w:line="240" w:lineRule="auto"/>
      </w:pPr>
      <w:r>
        <w:separator/>
      </w:r>
    </w:p>
  </w:endnote>
  <w:endnote w:type="continuationSeparator" w:id="0">
    <w:p w:rsidR="00756516" w:rsidRDefault="00756516" w:rsidP="0004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1B" w:rsidRPr="005D0653" w:rsidRDefault="0004441B" w:rsidP="005D0653">
    <w:pPr>
      <w:pStyle w:val="Piedepgina"/>
      <w:jc w:val="center"/>
      <w:rPr>
        <w:sz w:val="16"/>
      </w:rPr>
    </w:pPr>
    <w:r w:rsidRPr="005D0653">
      <w:rPr>
        <w:sz w:val="16"/>
      </w:rPr>
      <w:t>“Este programa es público, ajeno a cualquier partido político. Queda prohibido el uso para fines distintos a los</w:t>
    </w:r>
    <w:r w:rsidR="00362DE6">
      <w:rPr>
        <w:sz w:val="16"/>
      </w:rPr>
      <w:t xml:space="preserve"> </w:t>
    </w:r>
    <w:r w:rsidRPr="005D0653">
      <w:rPr>
        <w:sz w:val="16"/>
      </w:rPr>
      <w:t>establecidos en el programa”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16" w:rsidRDefault="00756516" w:rsidP="0004441B">
      <w:pPr>
        <w:spacing w:after="0" w:line="240" w:lineRule="auto"/>
      </w:pPr>
      <w:r>
        <w:separator/>
      </w:r>
    </w:p>
  </w:footnote>
  <w:footnote w:type="continuationSeparator" w:id="0">
    <w:p w:rsidR="00756516" w:rsidRDefault="00756516" w:rsidP="0004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E53"/>
    <w:multiLevelType w:val="hybridMultilevel"/>
    <w:tmpl w:val="A968872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5C3566"/>
    <w:multiLevelType w:val="multilevel"/>
    <w:tmpl w:val="AE5A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57779"/>
    <w:multiLevelType w:val="hybridMultilevel"/>
    <w:tmpl w:val="1FB4BF1A"/>
    <w:lvl w:ilvl="0" w:tplc="EC425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9B8"/>
    <w:multiLevelType w:val="hybridMultilevel"/>
    <w:tmpl w:val="F982B74E"/>
    <w:lvl w:ilvl="0" w:tplc="08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E"/>
    <w:rsid w:val="0004441B"/>
    <w:rsid w:val="00050F59"/>
    <w:rsid w:val="00065609"/>
    <w:rsid w:val="000A44CC"/>
    <w:rsid w:val="000E574A"/>
    <w:rsid w:val="000F4F29"/>
    <w:rsid w:val="001540B0"/>
    <w:rsid w:val="001A6567"/>
    <w:rsid w:val="001C1973"/>
    <w:rsid w:val="00237756"/>
    <w:rsid w:val="002A0A65"/>
    <w:rsid w:val="002F66A5"/>
    <w:rsid w:val="00362DE6"/>
    <w:rsid w:val="003A3CE0"/>
    <w:rsid w:val="004F04CD"/>
    <w:rsid w:val="00575FFB"/>
    <w:rsid w:val="005D0653"/>
    <w:rsid w:val="00625540"/>
    <w:rsid w:val="00756516"/>
    <w:rsid w:val="00780C46"/>
    <w:rsid w:val="00781126"/>
    <w:rsid w:val="00814BDE"/>
    <w:rsid w:val="00831758"/>
    <w:rsid w:val="0091588C"/>
    <w:rsid w:val="00932AA7"/>
    <w:rsid w:val="009E6456"/>
    <w:rsid w:val="00A43CC7"/>
    <w:rsid w:val="00AE7553"/>
    <w:rsid w:val="00B27745"/>
    <w:rsid w:val="00BB3127"/>
    <w:rsid w:val="00BD7A4B"/>
    <w:rsid w:val="00C175C9"/>
    <w:rsid w:val="00CB24EE"/>
    <w:rsid w:val="00D17C14"/>
    <w:rsid w:val="00DA307E"/>
    <w:rsid w:val="00DF111C"/>
    <w:rsid w:val="00E00607"/>
    <w:rsid w:val="00E3160C"/>
    <w:rsid w:val="00E43600"/>
    <w:rsid w:val="00EA046D"/>
    <w:rsid w:val="00EC6439"/>
    <w:rsid w:val="00F1193B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4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2F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04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41B"/>
  </w:style>
  <w:style w:type="paragraph" w:styleId="Piedepgina">
    <w:name w:val="footer"/>
    <w:basedOn w:val="Normal"/>
    <w:link w:val="PiedepginaCar"/>
    <w:uiPriority w:val="99"/>
    <w:unhideWhenUsed/>
    <w:rsid w:val="0004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4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2F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04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41B"/>
  </w:style>
  <w:style w:type="paragraph" w:styleId="Piedepgina">
    <w:name w:val="footer"/>
    <w:basedOn w:val="Normal"/>
    <w:link w:val="PiedepginaCar"/>
    <w:uiPriority w:val="99"/>
    <w:unhideWhenUsed/>
    <w:rsid w:val="0004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M1EDs9h36nv3e8Z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der.jalisco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VAZQUEZ</dc:creator>
  <cp:lastModifiedBy>DANIELA VAZQUEZ</cp:lastModifiedBy>
  <cp:revision>8</cp:revision>
  <dcterms:created xsi:type="dcterms:W3CDTF">2022-02-28T17:19:00Z</dcterms:created>
  <dcterms:modified xsi:type="dcterms:W3CDTF">2022-05-30T15:55:00Z</dcterms:modified>
</cp:coreProperties>
</file>