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5144DD72" w:rsidR="0068009B" w:rsidRDefault="005D7C14" w:rsidP="00187E84">
      <w:pPr>
        <w:spacing w:before="100"/>
        <w:ind w:right="77"/>
        <w:jc w:val="center"/>
        <w:rPr>
          <w:b/>
          <w:bCs/>
          <w:smallCaps/>
          <w:sz w:val="32"/>
          <w:szCs w:val="10"/>
        </w:rPr>
      </w:pPr>
      <w:r>
        <w:rPr>
          <w:b/>
          <w:bCs/>
          <w:smallCaps/>
          <w:sz w:val="32"/>
          <w:szCs w:val="10"/>
        </w:rPr>
        <w:t>diferimiento de la junta de aclaraciones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A461E66" w:rsidR="0068009B" w:rsidRPr="00052A04" w:rsidRDefault="00315DFD"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8E1534">
            <w:rPr>
              <w:b/>
              <w:bCs/>
              <w:smallCaps/>
              <w:sz w:val="32"/>
              <w:szCs w:val="10"/>
            </w:rPr>
            <w:t>LICITACIÓN PÚBLICA LOCAL LCCC-019-2022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0E201341" w:rsidR="0068009B" w:rsidRPr="00187E84" w:rsidRDefault="008E1534" w:rsidP="00187E84">
          <w:pPr>
            <w:pStyle w:val="Textoindependiente"/>
            <w:jc w:val="center"/>
            <w:rPr>
              <w:smallCaps/>
              <w:sz w:val="24"/>
              <w:szCs w:val="28"/>
            </w:rPr>
          </w:pPr>
          <w:r w:rsidRPr="008E1534">
            <w:rPr>
              <w:b/>
              <w:bCs/>
              <w:sz w:val="28"/>
              <w:szCs w:val="28"/>
            </w:rPr>
            <w:t>“ADQUISICIÓN DE EQUIPO DE CÓMPUTO, CONSUMIBLES Y COLCHONES PARA 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5AFD51B"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E1534">
            <w:rPr>
              <w:sz w:val="24"/>
              <w:szCs w:val="24"/>
            </w:rPr>
            <w:t>30</w:t>
          </w:r>
          <w:r w:rsidR="003B0ADE">
            <w:rPr>
              <w:sz w:val="24"/>
              <w:szCs w:val="24"/>
            </w:rPr>
            <w:t xml:space="preserve"> de </w:t>
          </w:r>
          <w:r w:rsidR="008E1534">
            <w:rPr>
              <w:sz w:val="24"/>
              <w:szCs w:val="24"/>
            </w:rPr>
            <w:t>junio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7323B1E3" w:rsidR="002D6DF6" w:rsidRDefault="001E5D00" w:rsidP="00035BF3">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A2800">
        <w:rPr>
          <w:sz w:val="18"/>
          <w:szCs w:val="18"/>
        </w:rPr>
        <w:t>1</w:t>
      </w:r>
      <w:r w:rsidR="00C567E4">
        <w:rPr>
          <w:sz w:val="18"/>
          <w:szCs w:val="18"/>
        </w:rPr>
        <w:t>2</w:t>
      </w:r>
      <w:r w:rsidR="000E11AB" w:rsidRPr="00DA410C">
        <w:rPr>
          <w:sz w:val="18"/>
          <w:szCs w:val="18"/>
        </w:rPr>
        <w:t>:</w:t>
      </w:r>
      <w:r w:rsidR="005D7C14">
        <w:rPr>
          <w:sz w:val="18"/>
          <w:szCs w:val="18"/>
        </w:rPr>
        <w:t>15</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E1534">
            <w:rPr>
              <w:sz w:val="18"/>
              <w:szCs w:val="18"/>
            </w:rPr>
            <w:t>30 de junio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xml:space="preserve">, </w:t>
      </w:r>
      <w:r w:rsidR="00035BF3">
        <w:rPr>
          <w:sz w:val="18"/>
          <w:szCs w:val="18"/>
        </w:rPr>
        <w:t xml:space="preserve">a fin de llevar a cavo el Diferimiento de Fallo del procedimiento de </w:t>
      </w:r>
      <w:r w:rsidR="00035BF3" w:rsidRPr="00035BF3">
        <w:rPr>
          <w:sz w:val="18"/>
          <w:szCs w:val="18"/>
        </w:rPr>
        <w:t>L</w:t>
      </w:r>
      <w:r w:rsidR="00035BF3" w:rsidRPr="00035BF3">
        <w:rPr>
          <w:b/>
          <w:bCs/>
          <w:sz w:val="18"/>
          <w:szCs w:val="18"/>
        </w:rPr>
        <w:t>ICITACIÓN PÚBLICA LOCAL LCCC-019-2022 CON CONCURRENCIA DE COMITÉ</w:t>
      </w:r>
      <w:r w:rsidR="00035BF3">
        <w:rPr>
          <w:b/>
          <w:bCs/>
          <w:sz w:val="18"/>
          <w:szCs w:val="18"/>
        </w:rPr>
        <w:t xml:space="preserve"> </w:t>
      </w:r>
      <w:r w:rsidR="00035BF3" w:rsidRPr="00035BF3">
        <w:rPr>
          <w:b/>
          <w:bCs/>
          <w:sz w:val="18"/>
          <w:szCs w:val="18"/>
        </w:rPr>
        <w:t>“ADQUISICIÓN DE EQUIPO DE CÓMPUTO, CONSUMIBLES Y COLCHONES PARA EL O.P.D. SERVICIOS DE SALUD JALISCO</w:t>
      </w:r>
      <w:r w:rsidR="00035BF3" w:rsidRPr="00035BF3">
        <w:rPr>
          <w:sz w:val="18"/>
          <w:szCs w:val="18"/>
        </w:rPr>
        <w:t>”</w:t>
      </w:r>
      <w:r w:rsidR="00035BF3">
        <w:rPr>
          <w:sz w:val="18"/>
          <w:szCs w:val="18"/>
        </w:rPr>
        <w:t>, por lo que se informa lo siguiente:</w:t>
      </w:r>
    </w:p>
    <w:p w14:paraId="140505AF" w14:textId="1FB7D235" w:rsidR="00035BF3" w:rsidRDefault="00035BF3" w:rsidP="00035BF3">
      <w:pPr>
        <w:spacing w:line="276" w:lineRule="auto"/>
        <w:jc w:val="both"/>
        <w:rPr>
          <w:sz w:val="18"/>
          <w:szCs w:val="18"/>
        </w:rPr>
      </w:pPr>
    </w:p>
    <w:p w14:paraId="5C18E5CD" w14:textId="747C3E31" w:rsidR="00244FB4" w:rsidRDefault="00035BF3" w:rsidP="00035BF3">
      <w:pPr>
        <w:spacing w:line="276" w:lineRule="auto"/>
        <w:jc w:val="both"/>
        <w:rPr>
          <w:sz w:val="18"/>
          <w:szCs w:val="18"/>
        </w:rPr>
      </w:pPr>
      <w:r>
        <w:rPr>
          <w:sz w:val="18"/>
          <w:szCs w:val="18"/>
        </w:rPr>
        <w:t xml:space="preserve">Se informa </w:t>
      </w:r>
      <w:r w:rsidR="00244FB4">
        <w:rPr>
          <w:sz w:val="18"/>
          <w:szCs w:val="18"/>
        </w:rPr>
        <w:t xml:space="preserve">a los interesados </w:t>
      </w:r>
      <w:r>
        <w:rPr>
          <w:sz w:val="18"/>
          <w:szCs w:val="18"/>
        </w:rPr>
        <w:t>que la Junta de Aclaraciones</w:t>
      </w:r>
      <w:r w:rsidR="00775BB4">
        <w:rPr>
          <w:sz w:val="18"/>
          <w:szCs w:val="18"/>
        </w:rPr>
        <w:t xml:space="preserve"> del procedimiento de Licitación mencionado en el párrafo anterior ha sido diferido</w:t>
      </w:r>
      <w:r w:rsidR="00244FB4">
        <w:rPr>
          <w:sz w:val="18"/>
          <w:szCs w:val="18"/>
        </w:rPr>
        <w:t>, y se llevará a cabo</w:t>
      </w:r>
      <w:r w:rsidR="00775BB4">
        <w:rPr>
          <w:sz w:val="18"/>
          <w:szCs w:val="18"/>
        </w:rPr>
        <w:t xml:space="preserve"> el día de hoy a las 17:00 horas en el domicilio indicado en las BASES</w:t>
      </w:r>
      <w:r w:rsidR="00244FB4">
        <w:rPr>
          <w:sz w:val="18"/>
          <w:szCs w:val="18"/>
        </w:rPr>
        <w:t>.</w:t>
      </w:r>
      <w:r w:rsidR="00283921">
        <w:rPr>
          <w:sz w:val="18"/>
          <w:szCs w:val="18"/>
        </w:rPr>
        <w:t xml:space="preserve"> </w:t>
      </w:r>
      <w:r w:rsidR="00244FB4">
        <w:rPr>
          <w:sz w:val="18"/>
          <w:szCs w:val="18"/>
        </w:rPr>
        <w:t xml:space="preserve">Lo anterior en virtud de que </w:t>
      </w:r>
      <w:r w:rsidR="00283921">
        <w:rPr>
          <w:sz w:val="18"/>
          <w:szCs w:val="18"/>
        </w:rPr>
        <w:t>el área requirente requiere más tiempo para el análisis de algunas de las preguntas recibidas.</w:t>
      </w:r>
    </w:p>
    <w:p w14:paraId="20EA6265" w14:textId="77777777" w:rsidR="000B0A0E" w:rsidRPr="00283921" w:rsidRDefault="000B0A0E" w:rsidP="00035BF3">
      <w:pPr>
        <w:spacing w:line="276" w:lineRule="auto"/>
        <w:jc w:val="both"/>
        <w:rPr>
          <w:bCs/>
          <w:sz w:val="18"/>
          <w:szCs w:val="18"/>
        </w:rPr>
      </w:pPr>
    </w:p>
    <w:p w14:paraId="4D36F6FC" w14:textId="6D26E0D4" w:rsidR="009258C5" w:rsidRDefault="00283921" w:rsidP="00035BF3">
      <w:pPr>
        <w:tabs>
          <w:tab w:val="left" w:pos="2280"/>
        </w:tabs>
        <w:spacing w:line="276" w:lineRule="auto"/>
        <w:jc w:val="both"/>
        <w:rPr>
          <w:rFonts w:eastAsiaTheme="minorEastAsia"/>
          <w:sz w:val="18"/>
          <w:szCs w:val="18"/>
        </w:rPr>
      </w:pPr>
      <w:r w:rsidRPr="00283921">
        <w:rPr>
          <w:rFonts w:eastAsiaTheme="minorEastAsia"/>
          <w:bCs/>
          <w:sz w:val="18"/>
          <w:szCs w:val="18"/>
        </w:rPr>
        <w:t>Sin más que hacer constar, s</w:t>
      </w:r>
      <w:r w:rsidR="00395AAE" w:rsidRPr="001925F9">
        <w:rPr>
          <w:rFonts w:eastAsiaTheme="minorEastAsia"/>
          <w:sz w:val="18"/>
          <w:szCs w:val="18"/>
        </w:rPr>
        <w:t>e da por terminad</w:t>
      </w:r>
      <w:r w:rsidR="00035BF3">
        <w:rPr>
          <w:rFonts w:eastAsiaTheme="minorEastAsia"/>
          <w:sz w:val="18"/>
          <w:szCs w:val="18"/>
        </w:rPr>
        <w:t>o</w:t>
      </w:r>
      <w:r w:rsidR="00395AAE" w:rsidRPr="001925F9">
        <w:rPr>
          <w:rFonts w:eastAsiaTheme="minorEastAsia"/>
          <w:sz w:val="18"/>
          <w:szCs w:val="18"/>
        </w:rPr>
        <w:t xml:space="preserve"> </w:t>
      </w:r>
      <w:r w:rsidR="00035BF3">
        <w:rPr>
          <w:rFonts w:eastAsiaTheme="minorEastAsia"/>
          <w:sz w:val="18"/>
          <w:szCs w:val="18"/>
        </w:rPr>
        <w:t>el presente acto,</w:t>
      </w:r>
      <w:r w:rsidR="00395AAE" w:rsidRPr="001925F9">
        <w:rPr>
          <w:rFonts w:eastAsiaTheme="minorEastAsia"/>
          <w:sz w:val="18"/>
          <w:szCs w:val="18"/>
        </w:rPr>
        <w:t xml:space="preserve"> el mismo día que </w:t>
      </w:r>
      <w:r w:rsidRPr="001925F9">
        <w:rPr>
          <w:rFonts w:eastAsiaTheme="minorEastAsia"/>
          <w:sz w:val="18"/>
          <w:szCs w:val="18"/>
        </w:rPr>
        <w:t>inició</w:t>
      </w:r>
      <w:r w:rsidR="00395AAE" w:rsidRPr="001925F9">
        <w:rPr>
          <w:rFonts w:eastAsiaTheme="minorEastAsia"/>
          <w:sz w:val="18"/>
          <w:szCs w:val="18"/>
        </w:rPr>
        <w:t xml:space="preserve"> </w:t>
      </w:r>
      <w:r>
        <w:rPr>
          <w:rFonts w:eastAsiaTheme="minorEastAsia"/>
          <w:sz w:val="18"/>
          <w:szCs w:val="18"/>
        </w:rPr>
        <w:t xml:space="preserve">a </w:t>
      </w:r>
      <w:r w:rsidR="00395AAE" w:rsidRPr="001925F9">
        <w:rPr>
          <w:rFonts w:eastAsiaTheme="minorEastAsia"/>
          <w:sz w:val="18"/>
          <w:szCs w:val="18"/>
        </w:rPr>
        <w:t xml:space="preserve">las </w:t>
      </w:r>
      <w:r w:rsidR="00642E18">
        <w:rPr>
          <w:rFonts w:eastAsiaTheme="minorEastAsia"/>
          <w:sz w:val="18"/>
          <w:szCs w:val="18"/>
        </w:rPr>
        <w:t>12</w:t>
      </w:r>
      <w:r w:rsidR="00395AAE" w:rsidRPr="001925F9">
        <w:rPr>
          <w:rFonts w:eastAsiaTheme="minorEastAsia"/>
          <w:sz w:val="18"/>
          <w:szCs w:val="18"/>
        </w:rPr>
        <w:t>:</w:t>
      </w:r>
      <w:r w:rsidR="00035BF3">
        <w:rPr>
          <w:rFonts w:eastAsiaTheme="minorEastAsia"/>
          <w:sz w:val="18"/>
          <w:szCs w:val="18"/>
        </w:rPr>
        <w:t>30</w:t>
      </w:r>
      <w:r w:rsidR="00395AAE" w:rsidRPr="001925F9">
        <w:rPr>
          <w:rFonts w:eastAsiaTheme="minorEastAsia"/>
          <w:sz w:val="18"/>
          <w:szCs w:val="18"/>
        </w:rPr>
        <w:t xml:space="preserve"> horas,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282B" w14:textId="77777777" w:rsidR="00315DFD" w:rsidRDefault="00315DFD" w:rsidP="00DE35AE">
      <w:r>
        <w:separator/>
      </w:r>
    </w:p>
  </w:endnote>
  <w:endnote w:type="continuationSeparator" w:id="0">
    <w:p w14:paraId="5659EA62" w14:textId="77777777" w:rsidR="00315DFD" w:rsidRDefault="00315DF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B3B9" w14:textId="77777777" w:rsidR="00315DFD" w:rsidRDefault="00315DFD" w:rsidP="00DE35AE">
      <w:r>
        <w:separator/>
      </w:r>
    </w:p>
  </w:footnote>
  <w:footnote w:type="continuationSeparator" w:id="0">
    <w:p w14:paraId="3A377B6A" w14:textId="77777777" w:rsidR="00315DFD" w:rsidRDefault="00315DF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315DFD">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6AA614B"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315DFD">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bookmarkStart w:id="0" w:name="_Hlk107488530"/>
    <w:bookmarkStart w:id="1" w:name="_Hlk107488531"/>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LCCC-0</w:t>
        </w:r>
        <w:r w:rsidR="008E1534">
          <w:rPr>
            <w:b/>
            <w:sz w:val="18"/>
            <w:szCs w:val="18"/>
          </w:rPr>
          <w:t>19</w:t>
        </w:r>
        <w:r w:rsidR="00501943">
          <w:rPr>
            <w:b/>
            <w:sz w:val="18"/>
            <w:szCs w:val="18"/>
          </w:rPr>
          <w:t>-202</w:t>
        </w:r>
        <w:r w:rsidR="00DE6979">
          <w:rPr>
            <w:b/>
            <w:sz w:val="18"/>
            <w:szCs w:val="18"/>
          </w:rPr>
          <w:t>2</w:t>
        </w:r>
        <w:r w:rsidR="00501943">
          <w:rPr>
            <w:b/>
            <w:sz w:val="18"/>
            <w:szCs w:val="18"/>
          </w:rPr>
          <w:t xml:space="preserve"> CON CONCURRENCIA DE COMITÉ</w:t>
        </w:r>
      </w:sdtContent>
    </w:sdt>
  </w:p>
  <w:p w14:paraId="24043990" w14:textId="2C9E6D23"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“ADQUISICIÓN DE EQUIPO DE CÓMPUTO, CONSUMIBLES Y COLCHONES PARA EL O.P.D. SERVICIOS DE SALUD JALISCO”</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315DFD">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5BF3"/>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44FB4"/>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3921"/>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DFD"/>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D7C14"/>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5BB4"/>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0DEC"/>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1A8"/>
    <w:rsid w:val="00FB149F"/>
    <w:rsid w:val="00FB15C8"/>
    <w:rsid w:val="00FB28AB"/>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94E"/>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LCCC-019-2022 CON CONCURRENCIA DE COMITÉ</dc:subject>
  <dc:creator>Arturo Cuauhtemoc Salinas Vazquez</dc:creator>
  <cp:lastModifiedBy>Direccion de Recursos Materiales</cp:lastModifiedBy>
  <cp:revision>3</cp:revision>
  <cp:lastPrinted>2022-06-30T20:21:00Z</cp:lastPrinted>
  <dcterms:created xsi:type="dcterms:W3CDTF">2022-06-30T18:30:00Z</dcterms:created>
  <dcterms:modified xsi:type="dcterms:W3CDTF">2022-06-30T20:21:00Z</dcterms:modified>
  <cp:category>“ADQUISICIÓN DE EQUIPO DE CÓMPUTO, CONSUMIBLES Y COLCHONES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