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50304060" w:rsidR="00964F34" w:rsidRPr="007D14BB" w:rsidRDefault="00AD4FD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SECGSSJ-LCCC-00</w:t>
          </w:r>
          <w:r w:rsidR="009F306C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6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-2023 CON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1448411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C8B6FBE" w14:textId="77777777" w:rsidR="00414F86" w:rsidRDefault="00414F86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3A048288" w14:textId="2C275FEA" w:rsidR="00481087" w:rsidRPr="009F306C" w:rsidRDefault="00000000" w:rsidP="00CC4C67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6"/>
            <w:szCs w:val="56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9F306C" w:rsidRPr="009F306C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“ADQUISICIÓN DE MATERIAL DE PAPELERÍA Y DESECHABLES PARA LOS HOSPITALES, UNIDADES MÉDICAS Y OFICINAS ADMINISTRATIVAS DEL ORGANISMO PÚBLICO DESCENTRALIZADO SERVICIOS DE SALUD JALISCO”</w:t>
          </w:r>
        </w:sdtContent>
      </w:sdt>
    </w:p>
    <w:p w14:paraId="45DEB301" w14:textId="77777777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2257887" w14:textId="044C232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7ED41E4" w14:textId="6405D26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E659CB3" w14:textId="2B394C5B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BEB1612" w14:textId="77777777" w:rsidR="003A2521" w:rsidRDefault="003A2521" w:rsidP="00D31669">
      <w:pPr>
        <w:spacing w:line="200" w:lineRule="exact"/>
        <w:rPr>
          <w:rFonts w:ascii="Arial Narrow" w:hAnsi="Arial Narrow"/>
          <w:lang w:val="es-ES"/>
        </w:rPr>
      </w:pPr>
    </w:p>
    <w:p w14:paraId="52441212" w14:textId="36D038BB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D9CC618" w14:textId="036BAEF7" w:rsidR="00FB56E2" w:rsidRPr="00AD4FD2" w:rsidRDefault="00964F34" w:rsidP="002F0C3D">
      <w:pPr>
        <w:jc w:val="right"/>
        <w:rPr>
          <w:rFonts w:ascii="Arial Narrow" w:hAnsi="Arial Narrow"/>
          <w:lang w:val="es-ES"/>
        </w:rPr>
      </w:pPr>
      <w:r w:rsidRPr="004C5B49">
        <w:rPr>
          <w:rFonts w:ascii="Arial Narrow" w:eastAsia="Arial" w:hAnsi="Arial Narrow" w:cs="Arial"/>
          <w:lang w:val="es-ES"/>
        </w:rPr>
        <w:t>G</w:t>
      </w:r>
      <w:r w:rsidRPr="004C5B49">
        <w:rPr>
          <w:rFonts w:ascii="Arial Narrow" w:eastAsia="Arial" w:hAnsi="Arial Narrow" w:cs="Arial"/>
          <w:spacing w:val="1"/>
          <w:lang w:val="es-ES"/>
        </w:rPr>
        <w:t>uad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spacing w:val="4"/>
          <w:lang w:val="es-ES"/>
        </w:rPr>
        <w:t>l</w:t>
      </w:r>
      <w:r w:rsidRPr="004C5B49">
        <w:rPr>
          <w:rFonts w:ascii="Arial Narrow" w:eastAsia="Arial" w:hAnsi="Arial Narrow" w:cs="Arial"/>
          <w:spacing w:val="1"/>
          <w:lang w:val="es-ES"/>
        </w:rPr>
        <w:t>a</w:t>
      </w:r>
      <w:r w:rsidRPr="004C5B49">
        <w:rPr>
          <w:rFonts w:ascii="Arial Narrow" w:eastAsia="Arial" w:hAnsi="Arial Narrow" w:cs="Arial"/>
          <w:spacing w:val="-5"/>
          <w:lang w:val="es-ES"/>
        </w:rPr>
        <w:t>j</w:t>
      </w:r>
      <w:r w:rsidRPr="004C5B49">
        <w:rPr>
          <w:rFonts w:ascii="Arial Narrow" w:eastAsia="Arial" w:hAnsi="Arial Narrow" w:cs="Arial"/>
          <w:spacing w:val="1"/>
          <w:lang w:val="es-ES"/>
        </w:rPr>
        <w:t>ara</w:t>
      </w:r>
      <w:r w:rsidRPr="004C5B49">
        <w:rPr>
          <w:rFonts w:ascii="Arial Narrow" w:eastAsia="Arial" w:hAnsi="Arial Narrow" w:cs="Arial"/>
          <w:lang w:val="es-ES"/>
        </w:rPr>
        <w:t>,</w:t>
      </w:r>
      <w:r w:rsidRPr="004C5B4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4C5B49">
        <w:rPr>
          <w:rFonts w:ascii="Arial Narrow" w:eastAsia="Arial" w:hAnsi="Arial Narrow" w:cs="Arial"/>
          <w:lang w:val="es-ES"/>
        </w:rPr>
        <w:t>J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lang w:val="es-ES"/>
        </w:rPr>
        <w:t>l</w:t>
      </w:r>
      <w:r w:rsidRPr="004C5B49">
        <w:rPr>
          <w:rFonts w:ascii="Arial Narrow" w:eastAsia="Arial" w:hAnsi="Arial Narrow" w:cs="Arial"/>
          <w:spacing w:val="4"/>
          <w:lang w:val="es-ES"/>
        </w:rPr>
        <w:t>i</w:t>
      </w:r>
      <w:r w:rsidRPr="004C5B49">
        <w:rPr>
          <w:rFonts w:ascii="Arial Narrow" w:eastAsia="Arial" w:hAnsi="Arial Narrow" w:cs="Arial"/>
          <w:lang w:val="es-ES"/>
        </w:rPr>
        <w:t>sco</w:t>
      </w:r>
      <w:r w:rsidR="00863D27" w:rsidRPr="004C5B49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C5B49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D4FD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27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AD4FD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abril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AD4FD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</w:t>
          </w:r>
        </w:sdtContent>
      </w:sdt>
    </w:p>
    <w:p w14:paraId="2F6CB289" w14:textId="4DCB0348" w:rsidR="00AC75D7" w:rsidRPr="00CC4C67" w:rsidRDefault="00AC75D7" w:rsidP="00AD4FD2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CC4C67">
        <w:rPr>
          <w:rFonts w:ascii="Arial Narrow" w:eastAsiaTheme="minorEastAsia" w:hAnsi="Arial Narrow" w:cstheme="majorHAnsi"/>
          <w:sz w:val="18"/>
          <w:szCs w:val="18"/>
        </w:rPr>
        <w:lastRenderedPageBreak/>
        <w:t>En la ciudad de Guadalajara</w:t>
      </w:r>
      <w:r w:rsidR="001C0DAF" w:rsidRPr="00CC4C67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>Jalisco, siendo</w:t>
      </w:r>
      <w:r w:rsidR="00094D65" w:rsidRPr="00CC4C67">
        <w:rPr>
          <w:rFonts w:ascii="Arial Narrow" w:eastAsiaTheme="minorEastAsia" w:hAnsi="Arial Narrow" w:cstheme="majorHAnsi"/>
          <w:sz w:val="18"/>
          <w:szCs w:val="18"/>
        </w:rPr>
        <w:t xml:space="preserve"> las 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>1</w:t>
      </w:r>
      <w:r w:rsidR="00CC4C67" w:rsidRPr="00CC4C67">
        <w:rPr>
          <w:rFonts w:ascii="Arial Narrow" w:eastAsiaTheme="minorEastAsia" w:hAnsi="Arial Narrow" w:cstheme="majorHAnsi"/>
          <w:sz w:val="18"/>
          <w:szCs w:val="18"/>
        </w:rPr>
        <w:t>9</w:t>
      </w:r>
      <w:r w:rsidR="00094D65" w:rsidRPr="00CC4C67">
        <w:rPr>
          <w:rFonts w:ascii="Arial Narrow" w:eastAsiaTheme="minorEastAsia" w:hAnsi="Arial Narrow" w:cstheme="majorHAnsi"/>
          <w:sz w:val="18"/>
          <w:szCs w:val="18"/>
        </w:rPr>
        <w:t>:</w:t>
      </w:r>
      <w:r w:rsidR="009F306C" w:rsidRPr="00CC4C67">
        <w:rPr>
          <w:rFonts w:ascii="Arial Narrow" w:eastAsiaTheme="minorEastAsia" w:hAnsi="Arial Narrow" w:cstheme="majorHAnsi"/>
          <w:sz w:val="18"/>
          <w:szCs w:val="18"/>
        </w:rPr>
        <w:t>0</w:t>
      </w:r>
      <w:r w:rsidR="008710BD" w:rsidRPr="00CC4C67">
        <w:rPr>
          <w:rFonts w:ascii="Arial Narrow" w:eastAsiaTheme="minorEastAsia" w:hAnsi="Arial Narrow" w:cstheme="majorHAnsi"/>
          <w:sz w:val="18"/>
          <w:szCs w:val="18"/>
        </w:rPr>
        <w:t>0</w:t>
      </w:r>
      <w:r w:rsidR="00094D65" w:rsidRPr="00CC4C67">
        <w:rPr>
          <w:rFonts w:ascii="Arial Narrow" w:eastAsiaTheme="minorEastAsia" w:hAnsi="Arial Narrow" w:cstheme="majorHAnsi"/>
          <w:sz w:val="18"/>
          <w:szCs w:val="18"/>
        </w:rPr>
        <w:t xml:space="preserve"> horas d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D4FD2" w:rsidRPr="00CC4C67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27 de abril de 2023</w:t>
          </w:r>
        </w:sdtContent>
      </w:sdt>
      <w:r w:rsidR="00094D65" w:rsidRPr="00CC4C67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en el Auditorio </w:t>
      </w:r>
      <w:r w:rsidR="00A268D1" w:rsidRPr="00CC4C67">
        <w:rPr>
          <w:rFonts w:ascii="Arial Narrow" w:eastAsiaTheme="minorEastAsia" w:hAnsi="Arial Narrow" w:cstheme="majorHAnsi"/>
          <w:sz w:val="18"/>
          <w:szCs w:val="18"/>
        </w:rPr>
        <w:t xml:space="preserve">de las oficinas centrales 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>del O.P.D. Servicios de Salud Jalisco, con domicilio en Dr. Baeza</w:t>
      </w:r>
      <w:r w:rsidR="008C6A61" w:rsidRPr="00CC4C67">
        <w:rPr>
          <w:rFonts w:ascii="Arial Narrow" w:eastAsiaTheme="minorEastAsia" w:hAnsi="Arial Narrow" w:cstheme="majorHAnsi"/>
          <w:sz w:val="18"/>
          <w:szCs w:val="18"/>
        </w:rPr>
        <w:t xml:space="preserve"> Alzaga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107</w:t>
      </w:r>
      <w:r w:rsidR="008C6A61" w:rsidRPr="00CC4C67">
        <w:rPr>
          <w:rFonts w:ascii="Arial Narrow" w:eastAsiaTheme="minorEastAsia" w:hAnsi="Arial Narrow" w:cstheme="majorHAnsi"/>
          <w:sz w:val="18"/>
          <w:szCs w:val="18"/>
        </w:rPr>
        <w:t>,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C.P. 44100</w:t>
      </w:r>
      <w:r w:rsidR="008C6A61" w:rsidRPr="00CC4C67">
        <w:rPr>
          <w:rFonts w:ascii="Arial Narrow" w:eastAsiaTheme="minorEastAsia" w:hAnsi="Arial Narrow" w:cstheme="majorHAnsi"/>
          <w:sz w:val="18"/>
          <w:szCs w:val="18"/>
        </w:rPr>
        <w:t>,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col. Centro</w:t>
      </w:r>
      <w:r w:rsidR="008C6A61" w:rsidRPr="00CC4C67">
        <w:rPr>
          <w:rFonts w:ascii="Arial Narrow" w:eastAsiaTheme="minorEastAsia" w:hAnsi="Arial Narrow" w:cstheme="majorHAnsi"/>
          <w:sz w:val="18"/>
          <w:szCs w:val="18"/>
        </w:rPr>
        <w:t>,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Guadalajara, Jalisco, se reunieron</w:t>
      </w:r>
      <w:r w:rsidR="004855FA" w:rsidRPr="00CC4C67">
        <w:rPr>
          <w:rFonts w:ascii="Arial Narrow" w:eastAsiaTheme="minorEastAsia" w:hAnsi="Arial Narrow" w:cstheme="majorHAnsi"/>
          <w:sz w:val="18"/>
          <w:szCs w:val="18"/>
        </w:rPr>
        <w:t xml:space="preserve"> los servidores públicos cuyos nombres aparecen al final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>, para efectuar</w:t>
      </w:r>
      <w:r w:rsidR="00AB0602" w:rsidRPr="00CC4C67">
        <w:rPr>
          <w:rFonts w:ascii="Arial Narrow" w:eastAsiaTheme="minorEastAsia" w:hAnsi="Arial Narrow" w:cstheme="majorHAnsi"/>
          <w:sz w:val="18"/>
          <w:szCs w:val="18"/>
        </w:rPr>
        <w:t xml:space="preserve"> la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A268D1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="00A268D1" w:rsidRPr="00CC4C67">
        <w:rPr>
          <w:rFonts w:ascii="Arial Narrow" w:eastAsiaTheme="minorEastAsia" w:hAnsi="Arial Narrow" w:cstheme="majorHAnsi"/>
          <w:sz w:val="18"/>
          <w:szCs w:val="18"/>
        </w:rPr>
        <w:t xml:space="preserve"> al Fallo de Adjudicación</w:t>
      </w:r>
      <w:r w:rsidR="00A268D1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A268D1" w:rsidRPr="00CC4C67">
        <w:rPr>
          <w:rFonts w:ascii="Arial Narrow" w:eastAsiaTheme="minorEastAsia" w:hAnsi="Arial Narrow" w:cstheme="majorHAnsi"/>
          <w:sz w:val="18"/>
          <w:szCs w:val="18"/>
        </w:rPr>
        <w:t>de la</w:t>
      </w:r>
      <w:r w:rsidR="00A268D1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F306C" w:rsidRPr="00CC4C67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SECGSSJ-LCCC-006-2023 CON CONCURRENCIA DE COMITÉ</w:t>
          </w:r>
        </w:sdtContent>
      </w:sdt>
      <w:r w:rsidR="00A268D1" w:rsidRPr="00CC4C67">
        <w:rPr>
          <w:rFonts w:ascii="Arial Narrow" w:eastAsiaTheme="minorEastAsia" w:hAnsi="Arial Narrow" w:cstheme="majorHAnsi"/>
          <w:sz w:val="18"/>
          <w:szCs w:val="18"/>
        </w:rPr>
        <w:t xml:space="preserve">, emitido por el </w:t>
      </w:r>
      <w:r w:rsidR="00A268D1" w:rsidRPr="00CC4C67">
        <w:rPr>
          <w:rFonts w:ascii="Arial Narrow" w:eastAsia="Arial" w:hAnsi="Arial Narrow" w:cs="Calibri Light"/>
          <w:bCs/>
          <w:spacing w:val="1"/>
          <w:sz w:val="18"/>
          <w:szCs w:val="18"/>
        </w:rPr>
        <w:t>Organismo Público Descentralizado Servicios de Salud Jalisco con fecha</w:t>
      </w:r>
      <w:r w:rsidR="00481087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1072153710"/>
          <w:placeholder>
            <w:docPart w:val="5B9BA270A723417A9DC1643744243DA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D4FD2" w:rsidRPr="00CC4C6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27 de abril de 2023</w:t>
          </w:r>
        </w:sdtContent>
      </w:sdt>
      <w:r w:rsidR="005D7195" w:rsidRPr="00CC4C67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</w:t>
      </w:r>
      <w:r w:rsidR="00A268D1" w:rsidRPr="00CC4C67">
        <w:rPr>
          <w:rFonts w:ascii="Arial Narrow" w:eastAsia="Arial" w:hAnsi="Arial Narrow" w:cs="Calibri Light"/>
          <w:bCs/>
          <w:spacing w:val="1"/>
          <w:sz w:val="18"/>
          <w:szCs w:val="18"/>
        </w:rPr>
        <w:t>de conformidad con los siguientes</w:t>
      </w:r>
      <w:r w:rsidR="000737A6" w:rsidRPr="00CC4C67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puntos</w:t>
      </w:r>
      <w:r w:rsidR="00A268D1" w:rsidRPr="00CC4C67">
        <w:rPr>
          <w:rFonts w:ascii="Arial Narrow" w:eastAsia="Arial" w:hAnsi="Arial Narrow" w:cs="Calibri Light"/>
          <w:bCs/>
          <w:spacing w:val="1"/>
          <w:sz w:val="18"/>
          <w:szCs w:val="18"/>
        </w:rPr>
        <w:t>:</w:t>
      </w:r>
    </w:p>
    <w:p w14:paraId="35756AFB" w14:textId="77777777" w:rsidR="00CF029E" w:rsidRPr="00CC4C67" w:rsidRDefault="00CF029E" w:rsidP="00AD4FD2">
      <w:pPr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7573C0D1" w14:textId="28C34B5A" w:rsidR="00813261" w:rsidRPr="00CC4C67" w:rsidRDefault="00652440" w:rsidP="00AD4FD2">
      <w:pPr>
        <w:ind w:right="-1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PRIMER</w:t>
      </w:r>
      <w:r w:rsidR="00A268D1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O</w:t>
      </w:r>
      <w:r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r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13261" w:rsidRPr="00CC4C67">
        <w:rPr>
          <w:rFonts w:ascii="Arial Narrow" w:eastAsiaTheme="minorEastAsia" w:hAnsi="Arial Narrow" w:cstheme="majorHAnsi"/>
          <w:sz w:val="18"/>
          <w:szCs w:val="18"/>
        </w:rPr>
        <w:t>En el Fallo de Adjudicación</w:t>
      </w:r>
      <w:r w:rsidR="00813261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813261" w:rsidRPr="00CC4C67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F306C" w:rsidRPr="00CC4C67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SECGSSJ-LCCC-006-2023 CON CONCURRENCIA DE COMITÉ</w:t>
          </w:r>
        </w:sdtContent>
      </w:sdt>
      <w:r w:rsidR="00813261" w:rsidRPr="00CC4C67">
        <w:rPr>
          <w:rFonts w:ascii="Arial Narrow" w:eastAsiaTheme="minorEastAsia" w:hAnsi="Arial Narrow" w:cstheme="majorHAnsi"/>
          <w:sz w:val="18"/>
          <w:szCs w:val="18"/>
        </w:rPr>
        <w:t xml:space="preserve">, respecto a </w:t>
      </w:r>
      <w:r w:rsidR="0057572C" w:rsidRPr="00CC4C67">
        <w:rPr>
          <w:rFonts w:ascii="Arial Narrow" w:eastAsiaTheme="minorEastAsia" w:hAnsi="Arial Narrow" w:cstheme="majorHAnsi"/>
          <w:sz w:val="18"/>
          <w:szCs w:val="18"/>
        </w:rPr>
        <w:t xml:space="preserve">la </w:t>
      </w:r>
      <w:r w:rsidR="00813261"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9F306C" w:rsidRPr="00CC4C67">
            <w:rPr>
              <w:rFonts w:ascii="Arial Narrow" w:hAnsi="Arial Narrow" w:cs="Arial"/>
              <w:b/>
              <w:smallCaps/>
              <w:sz w:val="18"/>
              <w:szCs w:val="18"/>
            </w:rPr>
            <w:t>“ADQUISICIÓN DE MATERIAL DE PAPELERÍA Y DESECHABLES PARA LOS HOSPITALES, UNIDADES MÉDICAS Y OFICINAS ADMINISTRATIVAS DEL ORGANISMO PÚBLICO DESCENTRALIZADO SERVICIOS DE SALUD JALISCO”</w:t>
          </w:r>
        </w:sdtContent>
      </w:sdt>
      <w:r w:rsidR="00813261" w:rsidRPr="00CC4C67">
        <w:rPr>
          <w:rFonts w:ascii="Arial Narrow" w:eastAsiaTheme="minorEastAsia" w:hAnsi="Arial Narrow" w:cstheme="majorHAnsi"/>
          <w:sz w:val="18"/>
          <w:szCs w:val="18"/>
        </w:rPr>
        <w:t>,</w:t>
      </w:r>
      <w:r w:rsidR="009D7CDA"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E3597" w:rsidRPr="00CC4C67">
        <w:rPr>
          <w:rFonts w:ascii="Arial Narrow" w:eastAsiaTheme="minorEastAsia" w:hAnsi="Arial Narrow" w:cstheme="majorHAnsi"/>
          <w:sz w:val="18"/>
          <w:szCs w:val="18"/>
        </w:rPr>
        <w:t xml:space="preserve">se localizó un error </w:t>
      </w:r>
      <w:r w:rsidR="00661BBB">
        <w:rPr>
          <w:rFonts w:ascii="Arial Narrow" w:eastAsiaTheme="minorEastAsia" w:hAnsi="Arial Narrow" w:cstheme="majorHAnsi"/>
          <w:sz w:val="18"/>
          <w:szCs w:val="18"/>
        </w:rPr>
        <w:t xml:space="preserve">mecanográfico en el punto </w:t>
      </w:r>
      <w:r w:rsidR="00661BBB" w:rsidRPr="00661BBB">
        <w:rPr>
          <w:rFonts w:ascii="Arial Narrow" w:eastAsiaTheme="minorEastAsia" w:hAnsi="Arial Narrow" w:cstheme="majorHAnsi"/>
          <w:b/>
          <w:bCs/>
          <w:sz w:val="18"/>
          <w:szCs w:val="18"/>
        </w:rPr>
        <w:t>SEGUNDO</w:t>
      </w:r>
      <w:r w:rsidR="00661BBB">
        <w:rPr>
          <w:rFonts w:ascii="Arial Narrow" w:eastAsiaTheme="minorEastAsia" w:hAnsi="Arial Narrow" w:cstheme="majorHAnsi"/>
          <w:sz w:val="18"/>
          <w:szCs w:val="18"/>
        </w:rPr>
        <w:t xml:space="preserve"> de </w:t>
      </w:r>
      <w:r w:rsidR="00661BBB" w:rsidRPr="00661BBB">
        <w:rPr>
          <w:rFonts w:ascii="Arial Narrow" w:eastAsiaTheme="minorEastAsia" w:hAnsi="Arial Narrow" w:cstheme="majorHAnsi"/>
          <w:b/>
          <w:bCs/>
          <w:sz w:val="18"/>
          <w:szCs w:val="18"/>
        </w:rPr>
        <w:t>PROPOSICIONES</w:t>
      </w:r>
      <w:r w:rsidR="006E3597"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61BBB">
        <w:rPr>
          <w:rFonts w:ascii="Arial Narrow" w:eastAsiaTheme="minorEastAsia" w:hAnsi="Arial Narrow" w:cstheme="majorHAnsi"/>
          <w:sz w:val="18"/>
          <w:szCs w:val="18"/>
        </w:rPr>
        <w:t xml:space="preserve">específicamente </w:t>
      </w:r>
      <w:r w:rsidR="00A31725" w:rsidRPr="00CC4C67">
        <w:rPr>
          <w:rFonts w:ascii="Arial Narrow" w:eastAsiaTheme="minorEastAsia" w:hAnsi="Arial Narrow" w:cstheme="majorHAnsi"/>
          <w:sz w:val="18"/>
          <w:szCs w:val="18"/>
        </w:rPr>
        <w:t>en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 la segunda columna</w:t>
      </w:r>
      <w:r w:rsidR="00661BBB">
        <w:rPr>
          <w:rFonts w:ascii="Arial Narrow" w:eastAsiaTheme="minorEastAsia" w:hAnsi="Arial Narrow" w:cstheme="majorHAnsi"/>
          <w:sz w:val="18"/>
          <w:szCs w:val="18"/>
        </w:rPr>
        <w:t xml:space="preserve"> en  el apartado de </w:t>
      </w:r>
      <w:r w:rsidR="00661BBB" w:rsidRPr="00661BBB">
        <w:rPr>
          <w:rFonts w:ascii="Arial Narrow" w:eastAsiaTheme="minorEastAsia" w:hAnsi="Arial Narrow" w:cstheme="majorHAnsi"/>
          <w:b/>
          <w:bCs/>
          <w:sz w:val="18"/>
          <w:szCs w:val="18"/>
        </w:rPr>
        <w:t>DESCRIPCIÓN</w:t>
      </w:r>
      <w:r w:rsidR="00661BBB">
        <w:rPr>
          <w:rFonts w:ascii="Arial Narrow" w:eastAsiaTheme="minorEastAsia" w:hAnsi="Arial Narrow" w:cstheme="majorHAnsi"/>
          <w:sz w:val="18"/>
          <w:szCs w:val="18"/>
        </w:rPr>
        <w:t xml:space="preserve"> en los numerales 6, 7, 8, 12, 18 y 19 de la </w:t>
      </w:r>
      <w:r w:rsidR="00661BBB" w:rsidRPr="00661BBB">
        <w:rPr>
          <w:rFonts w:ascii="Arial Narrow" w:eastAsiaTheme="minorEastAsia" w:hAnsi="Arial Narrow" w:cstheme="majorHAnsi"/>
          <w:b/>
          <w:bCs/>
          <w:sz w:val="18"/>
          <w:szCs w:val="18"/>
        </w:rPr>
        <w:t>PARTIDA 2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="00661BBB" w:rsidRPr="00CC4C67">
        <w:rPr>
          <w:rFonts w:ascii="Arial Narrow" w:eastAsiaTheme="minorEastAsia" w:hAnsi="Arial Narrow" w:cstheme="majorHAnsi"/>
          <w:sz w:val="18"/>
          <w:szCs w:val="18"/>
        </w:rPr>
        <w:t>concretamente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 en la</w:t>
      </w:r>
      <w:r w:rsidR="00661BBB">
        <w:rPr>
          <w:rFonts w:ascii="Arial Narrow" w:eastAsiaTheme="minorEastAsia" w:hAnsi="Arial Narrow" w:cstheme="majorHAnsi"/>
          <w:sz w:val="18"/>
          <w:szCs w:val="18"/>
        </w:rPr>
        <w:t>s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 página</w:t>
      </w:r>
      <w:r w:rsidR="00661BBB">
        <w:rPr>
          <w:rFonts w:ascii="Arial Narrow" w:eastAsiaTheme="minorEastAsia" w:hAnsi="Arial Narrow" w:cstheme="majorHAnsi"/>
          <w:sz w:val="18"/>
          <w:szCs w:val="18"/>
        </w:rPr>
        <w:t>s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61BBB">
        <w:rPr>
          <w:rFonts w:ascii="Arial Narrow" w:eastAsiaTheme="minorEastAsia" w:hAnsi="Arial Narrow" w:cstheme="majorHAnsi"/>
          <w:sz w:val="18"/>
          <w:szCs w:val="18"/>
        </w:rPr>
        <w:t>37 y 38</w:t>
      </w:r>
      <w:r w:rsidR="00AD4FD2" w:rsidRPr="00CC4C67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5D7195" w:rsidRPr="00CC4C67">
        <w:rPr>
          <w:rFonts w:ascii="Arial Narrow" w:eastAsiaTheme="minorEastAsia" w:hAnsi="Arial Narrow" w:cstheme="majorHAnsi"/>
          <w:sz w:val="18"/>
          <w:szCs w:val="18"/>
        </w:rPr>
        <w:t>por lo que se procede a realizar la corrección, de conformidad con lo siguiente…</w:t>
      </w:r>
    </w:p>
    <w:p w14:paraId="7CA34213" w14:textId="77777777" w:rsidR="0065316A" w:rsidRPr="001409A0" w:rsidRDefault="0065316A" w:rsidP="00AD4FD2">
      <w:pPr>
        <w:ind w:left="2552"/>
        <w:jc w:val="both"/>
        <w:rPr>
          <w:rFonts w:ascii="Arial Narrow" w:eastAsiaTheme="minorEastAsia" w:hAnsi="Arial Narrow" w:cstheme="majorHAnsi"/>
        </w:rPr>
      </w:pPr>
    </w:p>
    <w:p w14:paraId="12162363" w14:textId="7E8A5C99" w:rsidR="00AD4FD2" w:rsidRPr="00CC4C67" w:rsidRDefault="004C012B" w:rsidP="00AD4FD2">
      <w:pPr>
        <w:ind w:left="567" w:right="140" w:firstLine="142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  <w:r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Di</w:t>
      </w:r>
      <w:r w:rsidR="0069716C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ce</w:t>
      </w:r>
      <w:r w:rsidR="00AD4FD2" w:rsidRPr="00CC4C67">
        <w:rPr>
          <w:rFonts w:ascii="Arial Narrow" w:eastAsiaTheme="minorEastAsia" w:hAnsi="Arial Narrow" w:cstheme="majorHAnsi"/>
          <w:b/>
          <w:bCs/>
          <w:sz w:val="18"/>
          <w:szCs w:val="18"/>
        </w:rPr>
        <w:t>:</w:t>
      </w:r>
    </w:p>
    <w:p w14:paraId="5BF180EE" w14:textId="4B42C03D" w:rsidR="00CC4C67" w:rsidRPr="00CC4C67" w:rsidRDefault="00AD4FD2" w:rsidP="00AD4FD2">
      <w:pPr>
        <w:ind w:right="140"/>
        <w:jc w:val="both"/>
        <w:rPr>
          <w:sz w:val="18"/>
          <w:szCs w:val="18"/>
        </w:rPr>
      </w:pPr>
      <w:r w:rsidRPr="00CC4C67">
        <w:rPr>
          <w:sz w:val="18"/>
          <w:szCs w:val="18"/>
        </w:rPr>
        <w:t>[…]</w:t>
      </w:r>
    </w:p>
    <w:p w14:paraId="76660615" w14:textId="77777777" w:rsidR="00CC4C67" w:rsidRPr="00D4027F" w:rsidRDefault="00CC4C67" w:rsidP="00CC4C67">
      <w:pPr>
        <w:pStyle w:val="NormalWeb"/>
        <w:tabs>
          <w:tab w:val="left" w:pos="851"/>
        </w:tabs>
        <w:spacing w:before="0"/>
        <w:ind w:right="79"/>
        <w:rPr>
          <w:rFonts w:ascii="Arial Narrow" w:eastAsia="Arial" w:hAnsi="Arial Narrow" w:cs="Arial"/>
          <w:sz w:val="18"/>
          <w:szCs w:val="18"/>
        </w:rPr>
      </w:pPr>
      <w:r w:rsidRPr="00D4027F">
        <w:rPr>
          <w:rFonts w:ascii="Arial Narrow" w:eastAsia="Arial" w:hAnsi="Arial Narrow" w:cs="Arial"/>
          <w:b/>
          <w:bCs/>
          <w:sz w:val="18"/>
          <w:szCs w:val="18"/>
        </w:rPr>
        <w:t>Segundo.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De conformidad con lo señalado por el artículo 67 de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LEY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de Compras Gubernamentales, Enajenaciones y Contratación de Servicios del Estado de Jalisco y sus Municipios, se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ADJUDICA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CONTRATO ABIERTO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ECO SUPPLY S.A.P.I. DE C.V.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para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“ADQUISICIÓN DE MATERIAL DE PAPELERÍA Y DESECHABLES PARA LOS HOSPITALES, UNIDADES MÉDICAS Y OFICINAS ADMINISTRATIVAS DEL ORGANISMO PÚBLICO DESCENTRALIZADO SERVICIOS DE SALUD JALISCO”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en lo que respecta a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Partida 2 (subpartidas de la 1 a la 19), 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por un monto máximo de </w:t>
      </w:r>
      <w:r w:rsidRPr="00D4027F">
        <w:rPr>
          <w:rFonts w:ascii="Arial Narrow" w:hAnsi="Arial Narrow" w:cs="Arial"/>
          <w:b/>
          <w:bCs/>
          <w:sz w:val="18"/>
          <w:szCs w:val="18"/>
        </w:rPr>
        <w:t>$5,000,000.00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 (Cinco millones de pesos 00/100 M.N.)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con el impuesto al valor agregado incluido, y un monto mínimo de </w:t>
      </w:r>
      <w:r w:rsidRPr="00D4027F">
        <w:rPr>
          <w:rFonts w:ascii="Arial Narrow" w:hAnsi="Arial Narrow" w:cs="Arial"/>
          <w:b/>
          <w:bCs/>
          <w:sz w:val="18"/>
          <w:szCs w:val="18"/>
        </w:rPr>
        <w:t>$2,800,000.00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 (Dos millones ochocientos mil pesos 00/100 M.N.)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con el impuesto al valor agregado, por tratarse del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PARTICIPANTE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cuya oferta resulta solvente, porque cumple con los requisitos legales, administrativos y con las especificaciones técnicas derivadas del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Anexo 1. Carta de Requerimientos Técnicos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además de cumplir con los parámetros económicos de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LICITACIÓN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y de ofrecer los precios unitarios solventes más convenientes que se señalan a continuación:</w:t>
      </w:r>
    </w:p>
    <w:p w14:paraId="36367EB7" w14:textId="77777777" w:rsidR="00AD4FD2" w:rsidRDefault="00AD4FD2" w:rsidP="00AD4FD2">
      <w:pPr>
        <w:ind w:right="1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923"/>
        <w:gridCol w:w="1202"/>
        <w:gridCol w:w="1196"/>
        <w:gridCol w:w="1678"/>
        <w:gridCol w:w="1321"/>
        <w:gridCol w:w="1627"/>
      </w:tblGrid>
      <w:tr w:rsidR="00CC4C67" w:rsidRPr="00D4027F" w14:paraId="7BE602BF" w14:textId="77777777" w:rsidTr="00435602">
        <w:trPr>
          <w:tblHeader/>
        </w:trPr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4035" w14:textId="77777777" w:rsidR="00CC4C67" w:rsidRPr="00D4027F" w:rsidRDefault="00CC4C67" w:rsidP="00153E94">
            <w:pPr>
              <w:ind w:left="-118" w:right="-105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Partida 2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10F0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3A09F4D" w14:textId="77777777" w:rsidR="00CC4C67" w:rsidRPr="00D4027F" w:rsidRDefault="00CC4C67" w:rsidP="00153E94">
            <w:pPr>
              <w:ind w:left="-107" w:right="-113"/>
              <w:jc w:val="center"/>
              <w:rPr>
                <w:rFonts w:ascii="Arial Narrow" w:eastAsia="Century Gothic" w:hAnsi="Arial Narrow" w:cs="Arial"/>
                <w:b/>
                <w:color w:val="000000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240C3E31" w14:textId="77777777" w:rsidR="00CC4C67" w:rsidRPr="00D4027F" w:rsidRDefault="00CC4C67" w:rsidP="00153E94">
            <w:pPr>
              <w:ind w:right="-14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 xml:space="preserve">Unidad de </w:t>
            </w:r>
          </w:p>
          <w:p w14:paraId="04BAA2E3" w14:textId="77777777" w:rsidR="00CC4C67" w:rsidRPr="00D4027F" w:rsidRDefault="00CC4C67" w:rsidP="00153E94">
            <w:pPr>
              <w:ind w:right="-14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A414" w14:textId="77777777" w:rsidR="00CC4C67" w:rsidRPr="00D4027F" w:rsidRDefault="00CC4C67" w:rsidP="00153E94">
            <w:pPr>
              <w:ind w:left="-124" w:right="-14"/>
              <w:jc w:val="center"/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 xml:space="preserve">Precio Unitario </w:t>
            </w:r>
          </w:p>
          <w:p w14:paraId="4B2E3CED" w14:textId="77777777" w:rsidR="00CC4C67" w:rsidRPr="00D4027F" w:rsidRDefault="00CC4C67" w:rsidP="00153E94">
            <w:pPr>
              <w:ind w:left="-124" w:right="-14"/>
              <w:jc w:val="center"/>
              <w:rPr>
                <w:rFonts w:ascii="Arial Narrow" w:hAnsi="Arial Narrow" w:cstheme="majorHAnsi"/>
                <w:sz w:val="14"/>
                <w:szCs w:val="14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>antes de I.V.A.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29A3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2E61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TOTAL</w:t>
            </w:r>
          </w:p>
        </w:tc>
      </w:tr>
      <w:tr w:rsidR="00CC4C67" w:rsidRPr="00D4027F" w14:paraId="46B9EA66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4C7A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6BE29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CHAROLA C/D #9 BIODEGRADABLE, BULTO CON 500 PIEZAS 10 PAQUETES C/50 PZS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9E9FC91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8B201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FA6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767.24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0D2B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122.76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1CF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890.00</w:t>
            </w:r>
          </w:p>
        </w:tc>
      </w:tr>
      <w:tr w:rsidR="00CC4C67" w:rsidRPr="00D4027F" w14:paraId="406EBB99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2D82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2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8C7FF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CHAROLA A DE UNICEL BIODEGRADABLE # 855 LOLGITUD 21.5 CM ANCHO 16.3 CM, BULTO C 10/50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9D2719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F1E36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717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532.78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CF8D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85.24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00C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618.02</w:t>
            </w:r>
          </w:p>
        </w:tc>
      </w:tr>
      <w:tr w:rsidR="00CC4C67" w:rsidRPr="00D4027F" w14:paraId="12F3A17B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B179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3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875D5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CUCHARA DESECHABLE GRANDE BIODEGRADABLE CON 40 PAQUETES CON 25 PZS, 1000 PZS TOTAL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DFD1E0E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MONARKA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276E95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519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841.38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2DC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134.62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106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976.00</w:t>
            </w:r>
          </w:p>
        </w:tc>
      </w:tr>
      <w:tr w:rsidR="00CC4C67" w:rsidRPr="00D4027F" w14:paraId="6E249B75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9F9C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4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5F8CA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CUCHARA DESECHABLE MEDIANA BIODEGRADABLE CON 40 PAQUETES CON 25 PZS, 1000 PZS TOTAL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4464468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MONARKA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6BB40B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A4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630.00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57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100.80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741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730.80</w:t>
            </w:r>
          </w:p>
        </w:tc>
      </w:tr>
      <w:tr w:rsidR="00CC4C67" w:rsidRPr="00D4027F" w14:paraId="4506089A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BB50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5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A9D71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PAPEL ALUMINIO ROLLO DE 400 MTS.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56C66C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ULTRAFOIL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6071D4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63B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460.00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65E7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73.60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184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533.60</w:t>
            </w:r>
          </w:p>
        </w:tc>
      </w:tr>
      <w:tr w:rsidR="00CC4C67" w:rsidRPr="00D4027F" w14:paraId="3B92CC66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C767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6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26A85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INSTITUCIONAL, ELOGACION &gt;60%, ALTURA 38 CM, MATERIARL POLICLORURO DE VINILO, PESO CORE 0.320, PERO PELICULA 4.18 KG, PESO TOTAL 4.5 KG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41D61AE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MR FRESH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639499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2FF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626.00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4E0E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100.16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1B5E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726.16</w:t>
            </w:r>
          </w:p>
        </w:tc>
      </w:tr>
      <w:tr w:rsidR="00CC4C67" w:rsidRPr="00D4027F" w14:paraId="65244F91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4A96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7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214AF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HOTELERO, ELOGACION &gt;60%, ALTURA 35 CM, MATERIARL POLICLORURO DE VINILO, PESO CORE 0296, PERO PELICULA 2.8 KG, PESO TOTAL 3.3 KG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6B0869F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MR FRESH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D293DC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E81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403.40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8A4E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64.54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A4E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467.94</w:t>
            </w:r>
          </w:p>
        </w:tc>
      </w:tr>
      <w:tr w:rsidR="00CC4C67" w:rsidRPr="00D4027F" w14:paraId="287C3878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4E1C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8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A593F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INSTITUCIONAL, ELOGACION &gt;60%, ALTURA 45 CM, MATERIARL POLICLORURO DE VINILO, PESO CORE 0.777, PESO PELICULA .223 KG, PESO TOTAL 6 KG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ABE8DE4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MR FRESH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56530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D5F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714.06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19F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114.25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51BB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828.31</w:t>
            </w:r>
          </w:p>
        </w:tc>
      </w:tr>
      <w:tr w:rsidR="00CC4C67" w:rsidRPr="00D4027F" w14:paraId="2582998E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1CA6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9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AE9F7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PLATO HONDO TERMICO PH6 BIODEGRADABLE BULTO CON 500 PZAS 20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DFE8484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82EA95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9CA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507.94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FDB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81.27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85A3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589.21</w:t>
            </w:r>
          </w:p>
        </w:tc>
      </w:tr>
      <w:tr w:rsidR="00CC4C67" w:rsidRPr="00D4027F" w14:paraId="2B982930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A02C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10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28BAF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PLATO HONDO TERMICO PH8 BIODEGRADABLE BULTO CON 500 PZAS 20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60567EE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870E78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3C1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641.44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44B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102.63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7B0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744.07</w:t>
            </w:r>
          </w:p>
        </w:tc>
      </w:tr>
      <w:tr w:rsidR="00CC4C67" w:rsidRPr="00D4027F" w14:paraId="368E2F6D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DD06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11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BE6B4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ELASTICA TRANSPARENTE DE 18 PULG CON UNA LONGITUD DE 900 FT ALTURA 18 IN, CALIBRE 50, PESO DE STRETCH 7.1 g/m2, PRESENTACION EL </w:t>
            </w: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 xml:space="preserve">ROLLO PESO 1.76 KG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22E51B9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lastRenderedPageBreak/>
              <w:t>MANOLO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601E0E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D3D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171.00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76C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27.36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BFC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198.36</w:t>
            </w:r>
          </w:p>
        </w:tc>
      </w:tr>
      <w:tr w:rsidR="00CC4C67" w:rsidRPr="00D4027F" w14:paraId="1E986564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454A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12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4CF72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SERVILLETA TRADICIONAL BLANCURA 78% ~ 80% AN 25 X L 12.5 CM CAJA AN 25 X L 25 CM OFRADO PIRAMIDAL CON FLORES, CAJA CON 12 PAQUETES DE 500 PZAS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1471EA9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ELITE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06FEF7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942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 711.56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B0A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113.85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473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825.41</w:t>
            </w:r>
          </w:p>
        </w:tc>
      </w:tr>
      <w:tr w:rsidR="00CC4C67" w:rsidRPr="00D4027F" w14:paraId="325F9FAB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7C74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13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140C9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TENEDOR GRANDE BIODEGRADABLE CAJA CON 1000 PZS 40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A6F4646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FANTASY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9E7AA9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67C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825.00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1FF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132.00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75C3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957.00</w:t>
            </w:r>
          </w:p>
        </w:tc>
      </w:tr>
      <w:tr w:rsidR="00CC4C67" w:rsidRPr="00D4027F" w14:paraId="55E4AE78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3731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14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B24FF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PLASTICO # 12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D872E70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60D7CC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63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1,456.90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CCE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233.10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5A37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1,690.00</w:t>
            </w:r>
          </w:p>
        </w:tc>
      </w:tr>
      <w:tr w:rsidR="00CC4C67" w:rsidRPr="00D4027F" w14:paraId="58C53D49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1E2A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15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012AB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PLASTICO # 8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D98E2B1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D3D7F7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9F9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1,098.28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656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175.72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FCB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1,274.00</w:t>
            </w:r>
          </w:p>
        </w:tc>
      </w:tr>
      <w:tr w:rsidR="00CC4C67" w:rsidRPr="00D4027F" w14:paraId="6EA5CE1C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06B1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16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680BA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TERMICO # 10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00543E7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DART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50AB0B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0E03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1,155.18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3F0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184.83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341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1,340.01</w:t>
            </w:r>
          </w:p>
        </w:tc>
      </w:tr>
      <w:tr w:rsidR="00CC4C67" w:rsidRPr="00D4027F" w14:paraId="74ACFEAA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091F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17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7DB53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VASOS HIGIENICOS NUMERO 106 CONITOS CAJA CON 20 PAQUETES CON 250 C/ UNO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9160308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PRIMO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7EF16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7EF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1,834.48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AA5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293.52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9E1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2,128.00</w:t>
            </w:r>
          </w:p>
        </w:tc>
      </w:tr>
      <w:tr w:rsidR="00CC4C67" w:rsidRPr="00D4027F" w14:paraId="09F8D9AC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AFB4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18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B4E42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CAJA CON 20 PAQUETES DE 50 PIEZAS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9C5E07E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742033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1D5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751.72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87F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120.28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C9C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872.00</w:t>
            </w:r>
          </w:p>
        </w:tc>
      </w:tr>
      <w:tr w:rsidR="00CC4C67" w:rsidRPr="00D4027F" w14:paraId="380A7B82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510F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19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9816C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CAJA CON 20 PAQUETES DE 50 PIEZAS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1B6BEF6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DART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AC8BC1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4DDE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920.00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0820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147.20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A29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1,067.20</w:t>
            </w:r>
          </w:p>
        </w:tc>
      </w:tr>
    </w:tbl>
    <w:p w14:paraId="636F1948" w14:textId="77777777" w:rsidR="000F7248" w:rsidRPr="000F7248" w:rsidRDefault="000F7248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20"/>
          <w:szCs w:val="20"/>
        </w:rPr>
      </w:pPr>
    </w:p>
    <w:p w14:paraId="28B1ED2C" w14:textId="064E003E" w:rsidR="00221AAC" w:rsidRDefault="00AD4FD2" w:rsidP="00AD4FD2">
      <w:pPr>
        <w:ind w:right="140"/>
        <w:jc w:val="both"/>
        <w:rPr>
          <w:rFonts w:ascii="Arial Narrow" w:eastAsiaTheme="minorEastAsia" w:hAnsi="Arial Narrow" w:cstheme="majorHAnsi"/>
        </w:rPr>
      </w:pPr>
      <w:r>
        <w:t>[…]</w:t>
      </w:r>
    </w:p>
    <w:p w14:paraId="3C52D653" w14:textId="77777777" w:rsidR="00AD4FD2" w:rsidRDefault="00AD4FD2" w:rsidP="00AD4FD2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1597ABB3" w14:textId="796BEC3D" w:rsidR="00481087" w:rsidRPr="00AD4FD2" w:rsidRDefault="00315CF3" w:rsidP="00AD4FD2">
      <w:pPr>
        <w:ind w:left="709" w:right="140"/>
        <w:jc w:val="both"/>
        <w:rPr>
          <w:rFonts w:ascii="Arial Narrow" w:eastAsiaTheme="minorEastAsia" w:hAnsi="Arial Narrow" w:cstheme="majorHAnsi"/>
          <w:b/>
          <w:bCs/>
        </w:rPr>
      </w:pPr>
      <w:r w:rsidRPr="00AD4FD2">
        <w:rPr>
          <w:rFonts w:ascii="Arial Narrow" w:eastAsiaTheme="minorEastAsia" w:hAnsi="Arial Narrow" w:cstheme="majorHAnsi"/>
          <w:b/>
          <w:bCs/>
        </w:rPr>
        <w:t>Debe dec</w:t>
      </w:r>
      <w:r w:rsidR="0069716C" w:rsidRPr="00AD4FD2">
        <w:rPr>
          <w:rFonts w:ascii="Arial Narrow" w:eastAsiaTheme="minorEastAsia" w:hAnsi="Arial Narrow" w:cstheme="majorHAnsi"/>
          <w:b/>
          <w:bCs/>
        </w:rPr>
        <w:t xml:space="preserve">ir: </w:t>
      </w:r>
    </w:p>
    <w:p w14:paraId="1EC380CC" w14:textId="77777777" w:rsidR="000F7248" w:rsidRDefault="000F7248" w:rsidP="00AD4FD2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565F2E99" w14:textId="77777777" w:rsidR="00AD4FD2" w:rsidRDefault="00AD4FD2" w:rsidP="00AD4FD2">
      <w:pPr>
        <w:ind w:right="140"/>
        <w:jc w:val="both"/>
      </w:pPr>
      <w:r>
        <w:t>[…]</w:t>
      </w:r>
    </w:p>
    <w:p w14:paraId="5AD5B2D5" w14:textId="77777777" w:rsidR="00CC4C67" w:rsidRPr="00D4027F" w:rsidRDefault="00CC4C67" w:rsidP="00CC4C67">
      <w:pPr>
        <w:pStyle w:val="NormalWeb"/>
        <w:tabs>
          <w:tab w:val="left" w:pos="851"/>
        </w:tabs>
        <w:spacing w:before="0"/>
        <w:ind w:right="79"/>
        <w:rPr>
          <w:rFonts w:ascii="Arial Narrow" w:eastAsia="Arial" w:hAnsi="Arial Narrow" w:cs="Arial"/>
          <w:sz w:val="18"/>
          <w:szCs w:val="18"/>
        </w:rPr>
      </w:pPr>
      <w:r w:rsidRPr="00D4027F">
        <w:rPr>
          <w:rFonts w:ascii="Arial Narrow" w:eastAsia="Arial" w:hAnsi="Arial Narrow" w:cs="Arial"/>
          <w:b/>
          <w:bCs/>
          <w:sz w:val="18"/>
          <w:szCs w:val="18"/>
        </w:rPr>
        <w:t>Segundo.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De conformidad con lo señalado por el artículo 67 de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LEY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de Compras Gubernamentales, Enajenaciones y Contratación de Servicios del Estado de Jalisco y sus Municipios, se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ADJUDICA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CONTRATO ABIERTO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ECO SUPPLY S.A.P.I. DE C.V.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para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“ADQUISICIÓN DE MATERIAL DE PAPELERÍA Y DESECHABLES PARA LOS HOSPITALES, UNIDADES MÉDICAS Y OFICINAS ADMINISTRATIVAS DEL ORGANISMO PÚBLICO DESCENTRALIZADO SERVICIOS DE SALUD JALISCO”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en lo que respecta a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Partida 2 (subpartidas de la 1 a la 19), 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por un monto máximo de </w:t>
      </w:r>
      <w:r w:rsidRPr="00D4027F">
        <w:rPr>
          <w:rFonts w:ascii="Arial Narrow" w:hAnsi="Arial Narrow" w:cs="Arial"/>
          <w:b/>
          <w:bCs/>
          <w:sz w:val="18"/>
          <w:szCs w:val="18"/>
        </w:rPr>
        <w:t>$5,000,000.00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 (Cinco millones de pesos 00/100 M.N.)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con el impuesto al valor agregado incluido, y un monto mínimo de </w:t>
      </w:r>
      <w:r w:rsidRPr="00D4027F">
        <w:rPr>
          <w:rFonts w:ascii="Arial Narrow" w:hAnsi="Arial Narrow" w:cs="Arial"/>
          <w:b/>
          <w:bCs/>
          <w:sz w:val="18"/>
          <w:szCs w:val="18"/>
        </w:rPr>
        <w:t>$2,800,000.00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 xml:space="preserve"> (Dos millones ochocientos mil pesos 00/100 M.N.)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con el impuesto al valor agregado, por tratarse del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PARTICIPANTE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cuya oferta resulta solvente, porque cumple con los requisitos legales, administrativos y con las especificaciones técnicas derivadas del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Anexo 1. Carta de Requerimientos Técnicos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, además de cumplir con los parámetros económicos de la </w:t>
      </w:r>
      <w:r w:rsidRPr="00D4027F">
        <w:rPr>
          <w:rFonts w:ascii="Arial Narrow" w:eastAsia="Arial" w:hAnsi="Arial Narrow" w:cs="Arial"/>
          <w:b/>
          <w:bCs/>
          <w:sz w:val="18"/>
          <w:szCs w:val="18"/>
        </w:rPr>
        <w:t>LICITACIÓN</w:t>
      </w:r>
      <w:r w:rsidRPr="00D4027F">
        <w:rPr>
          <w:rFonts w:ascii="Arial Narrow" w:eastAsia="Arial" w:hAnsi="Arial Narrow" w:cs="Arial"/>
          <w:sz w:val="18"/>
          <w:szCs w:val="18"/>
        </w:rPr>
        <w:t xml:space="preserve"> y de ofrecer los precios unitarios solventes más convenientes que se señalan a continuación:</w:t>
      </w:r>
    </w:p>
    <w:p w14:paraId="1C8B8285" w14:textId="77777777" w:rsidR="00AD4FD2" w:rsidRDefault="00AD4FD2" w:rsidP="00AD4FD2">
      <w:pPr>
        <w:ind w:right="1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923"/>
        <w:gridCol w:w="1202"/>
        <w:gridCol w:w="1196"/>
        <w:gridCol w:w="1678"/>
        <w:gridCol w:w="1321"/>
        <w:gridCol w:w="1627"/>
      </w:tblGrid>
      <w:tr w:rsidR="00CC4C67" w:rsidRPr="00D4027F" w14:paraId="5DBCCDD4" w14:textId="77777777" w:rsidTr="00435602">
        <w:trPr>
          <w:tblHeader/>
        </w:trPr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04E6" w14:textId="77777777" w:rsidR="00CC4C67" w:rsidRPr="00D4027F" w:rsidRDefault="00CC4C67" w:rsidP="00153E94">
            <w:pPr>
              <w:ind w:left="-118" w:right="-105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Partida 2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BB21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5091B715" w14:textId="77777777" w:rsidR="00CC4C67" w:rsidRPr="00D4027F" w:rsidRDefault="00CC4C67" w:rsidP="00153E94">
            <w:pPr>
              <w:ind w:left="-107" w:right="-113"/>
              <w:jc w:val="center"/>
              <w:rPr>
                <w:rFonts w:ascii="Arial Narrow" w:eastAsia="Century Gothic" w:hAnsi="Arial Narrow" w:cs="Arial"/>
                <w:b/>
                <w:color w:val="000000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01296F28" w14:textId="77777777" w:rsidR="00CC4C67" w:rsidRPr="00D4027F" w:rsidRDefault="00CC4C67" w:rsidP="00153E94">
            <w:pPr>
              <w:ind w:right="-14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 xml:space="preserve">Unidad de </w:t>
            </w:r>
          </w:p>
          <w:p w14:paraId="2D9A12CC" w14:textId="77777777" w:rsidR="00CC4C67" w:rsidRPr="00D4027F" w:rsidRDefault="00CC4C67" w:rsidP="00153E94">
            <w:pPr>
              <w:ind w:right="-14"/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D79B" w14:textId="77777777" w:rsidR="00CC4C67" w:rsidRPr="00D4027F" w:rsidRDefault="00CC4C67" w:rsidP="00153E94">
            <w:pPr>
              <w:ind w:left="-124" w:right="-14"/>
              <w:jc w:val="center"/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 xml:space="preserve">Precio Unitario </w:t>
            </w:r>
          </w:p>
          <w:p w14:paraId="628F1CD3" w14:textId="77777777" w:rsidR="00CC4C67" w:rsidRPr="00D4027F" w:rsidRDefault="00CC4C67" w:rsidP="00153E94">
            <w:pPr>
              <w:ind w:left="-124" w:right="-14"/>
              <w:jc w:val="center"/>
              <w:rPr>
                <w:rFonts w:ascii="Arial Narrow" w:hAnsi="Arial Narrow" w:cstheme="majorHAnsi"/>
                <w:sz w:val="14"/>
                <w:szCs w:val="14"/>
              </w:rPr>
            </w:pPr>
            <w:r w:rsidRPr="00D4027F">
              <w:rPr>
                <w:rFonts w:ascii="Arial Narrow" w:eastAsia="Century Gothic" w:hAnsi="Arial Narrow" w:cstheme="majorHAnsi"/>
                <w:b/>
                <w:color w:val="000000"/>
                <w:sz w:val="16"/>
                <w:szCs w:val="16"/>
              </w:rPr>
              <w:t>antes de I.V.A.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C619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b/>
                <w:bCs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7D69" w14:textId="77777777" w:rsidR="00CC4C67" w:rsidRPr="00D4027F" w:rsidRDefault="00CC4C67" w:rsidP="00153E94">
            <w:pPr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b/>
                <w:bCs/>
                <w:sz w:val="16"/>
                <w:szCs w:val="16"/>
              </w:rPr>
              <w:t>TOTAL</w:t>
            </w:r>
          </w:p>
        </w:tc>
      </w:tr>
      <w:tr w:rsidR="00CC4C67" w:rsidRPr="00D4027F" w14:paraId="149AE589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300F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D7476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CHAROLA C/D #9 BIODEGRADABLE, BULTO CON 500 PIEZAS 10 PAQUETES C/50 PZS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8399182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38FFC5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A1AD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767.24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4988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122.76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BE85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890.00</w:t>
            </w:r>
          </w:p>
        </w:tc>
      </w:tr>
      <w:tr w:rsidR="00CC4C67" w:rsidRPr="00D4027F" w14:paraId="39C48CC8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7DDB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2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D002B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CHAROLA A DE UNICEL BIODEGRADABLE # 855 LOLGITUD 21.5 CM ANCHO 16.3 CM, BULTO C 10/50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E3C41A4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8AF307B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BAEC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532.78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BA3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85.24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9896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618.02</w:t>
            </w:r>
          </w:p>
        </w:tc>
      </w:tr>
      <w:tr w:rsidR="00CC4C67" w:rsidRPr="00D4027F" w14:paraId="3FC920AB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A9C6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3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2F7F5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CUCHARA DESECHABLE GRANDE BIODEGRADABLE CON 40 PAQUETES CON 25 PZS, 1000 PZS TOTAL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E7F427A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MONARKA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3261F4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DD22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841.38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4D7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134.62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F8EB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976.00</w:t>
            </w:r>
          </w:p>
        </w:tc>
      </w:tr>
      <w:tr w:rsidR="00CC4C67" w:rsidRPr="00D4027F" w14:paraId="4C74269E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1D09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4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19EBD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CUCHARA DESECHABLE MEDIANA BIODEGRADABLE CON 40 PAQUETES CON 25 PZS, 1000 PZS TOTAL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4D3828A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MONARKA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143C5B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F8A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630.00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5CE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100.80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431A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730.80</w:t>
            </w:r>
          </w:p>
        </w:tc>
      </w:tr>
      <w:tr w:rsidR="00CC4C67" w:rsidRPr="00D4027F" w14:paraId="1666BD30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6413" w14:textId="77777777" w:rsidR="00CC4C67" w:rsidRPr="00D4027F" w:rsidRDefault="00CC4C67" w:rsidP="00153E94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5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DFD3B" w14:textId="77777777" w:rsidR="00CC4C67" w:rsidRPr="00D4027F" w:rsidRDefault="00CC4C67" w:rsidP="00153E94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PAPEL ALUMINIO ROLLO DE 400 MTS.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D486920" w14:textId="77777777" w:rsidR="00CC4C67" w:rsidRPr="00D4027F" w:rsidRDefault="00CC4C67" w:rsidP="00153E94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ULTRAFOIL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DF595F1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038F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460.00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69F4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73.60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89C9" w14:textId="77777777" w:rsidR="00CC4C67" w:rsidRPr="00D4027F" w:rsidRDefault="00CC4C67" w:rsidP="00153E94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533.60</w:t>
            </w:r>
          </w:p>
        </w:tc>
      </w:tr>
      <w:tr w:rsidR="00CC4C67" w:rsidRPr="00D4027F" w14:paraId="7F11B7AD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93C1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6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5197" w14:textId="2142F771" w:rsidR="00CC4C67" w:rsidRPr="00CC4C67" w:rsidRDefault="00CC4C67" w:rsidP="00CC4C67">
            <w:pPr>
              <w:ind w:left="-76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INSTITUCIONAL, ELOGACION &gt;60%, ALTURA 38 CM, LONGITUD 800MTS, MATERIAL POLICLORURO DE VINILO, PESO CORE 0.743, PESO TOTAL 5.070 KG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3927FF13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MR FRESH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4E7140FC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EF84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626.00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915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100.16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9024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726.16</w:t>
            </w:r>
          </w:p>
        </w:tc>
      </w:tr>
      <w:tr w:rsidR="00CC4C67" w:rsidRPr="00D4027F" w14:paraId="58EBAD50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058C3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7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26DB" w14:textId="211B68FE" w:rsidR="00CC4C67" w:rsidRPr="00CC4C67" w:rsidRDefault="00CC4C67" w:rsidP="00CC4C67">
            <w:pPr>
              <w:ind w:left="-76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HOTELERO, ELOGACION &gt;60%, ALTURA 35 CM, LONGITUD 600MTS, MATERIAL POLICLORURO DE VINILO, PESO TOTAL 3.300 KG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49515642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MR FRESH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066EC6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2D3E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403.40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5B7F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64.54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E4E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467.94</w:t>
            </w:r>
          </w:p>
        </w:tc>
      </w:tr>
      <w:tr w:rsidR="00CC4C67" w:rsidRPr="00D4027F" w14:paraId="1EDEB627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BAC4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8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CFD7" w14:textId="3397A1EE" w:rsidR="00CC4C67" w:rsidRPr="00CC4C67" w:rsidRDefault="00CC4C67" w:rsidP="00CC4C67">
            <w:pPr>
              <w:ind w:left="-76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DE ALTO RENDIMIENTO CON 12 MICRAS TRANSPARENTE, INSTITUCIONAL, ELOGACION &gt;60%, ALTURA 45 CM, LONGITUD 800 MTS, MATERIAL </w:t>
            </w: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 xml:space="preserve">POLICLORURO DE VINILO, PESO CORE 0.777, PESO PELICULA 5.470 KG, PESO TOTAL 6 KG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34FB2E64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lastRenderedPageBreak/>
              <w:t>MR FRESH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232F9084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ROLLO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D7C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714.06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574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114.25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C4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828.31</w:t>
            </w:r>
          </w:p>
        </w:tc>
      </w:tr>
      <w:tr w:rsidR="00CC4C67" w:rsidRPr="00D4027F" w14:paraId="0496F6B0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BF39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9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ACB5F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PLATO HONDO TERMICO PH6 BIODEGRADABLE BULTO CON 500 PZAS 20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58B0EF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488AE37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7BAD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507.94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73E3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81.27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B5B7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589.21</w:t>
            </w:r>
          </w:p>
        </w:tc>
      </w:tr>
      <w:tr w:rsidR="00CC4C67" w:rsidRPr="00D4027F" w14:paraId="1B729815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832C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10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F0287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PLATO HONDO TERMICO PH8 BIODEGRADABLE BULTO CON 500 PZAS 20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F40E32F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75882B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BULTO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EEC4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641.44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9CD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102.63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8A17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744.07</w:t>
            </w:r>
          </w:p>
        </w:tc>
      </w:tr>
      <w:tr w:rsidR="00CC4C67" w:rsidRPr="00D4027F" w14:paraId="038FE2F6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1DB2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11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CF4C1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PELICULA ELASTICA TRANSPARENTE DE 18 PULG CON UNA LONGITUD DE 900 FT ALTURA 18 IN, CALIBRE 50, PESO DE STRETCH 7.1 g/m2, PRESENTACION EL ROLLO PESO 1.76 KG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0E667B5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MANOLO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2254B32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78BD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171.00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92C9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27.36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F9F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198.36</w:t>
            </w:r>
          </w:p>
        </w:tc>
      </w:tr>
      <w:tr w:rsidR="00CC4C67" w:rsidRPr="00D4027F" w14:paraId="65817E07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A380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12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73ED0" w14:textId="3FA87643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>SERVILLETA TRADICIONAL BLANCURA 78% ~ 80% AN 25 X L 12.5 CM CAJA AN 25 X L 25 CM GOFRADO PIRAMIDAL CON FLORES, CAJA CON 12 PAQUETES DE 500 PZAS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A419F2F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ELITE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62849E05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1EC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 711.56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8C09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113.85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F869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825.41</w:t>
            </w:r>
          </w:p>
        </w:tc>
      </w:tr>
      <w:tr w:rsidR="00CC4C67" w:rsidRPr="00D4027F" w14:paraId="2450253B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C0FD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13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479B5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TENEDOR GRANDE BIODEGRADABLE CAJA CON 1000 PZS 40 PAQUETES C/ 25 PZS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98DFFC1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FANTASY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799514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D32E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825.00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632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132.00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A808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957.00</w:t>
            </w:r>
          </w:p>
        </w:tc>
      </w:tr>
      <w:tr w:rsidR="00CC4C67" w:rsidRPr="00D4027F" w14:paraId="2071C446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189C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14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9D9C8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PLASTICO # 12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EF4C7F0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FA72CD0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ED53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1,456.90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40C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233.10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D70B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1,690.00</w:t>
            </w:r>
          </w:p>
        </w:tc>
      </w:tr>
      <w:tr w:rsidR="00CC4C67" w:rsidRPr="00D4027F" w14:paraId="7D7A853F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6DE6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15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BDA70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PLASTICO # 8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F97B1E8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9910C7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FC62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1,098.28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1CA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175.72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554E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1,274.00</w:t>
            </w:r>
          </w:p>
        </w:tc>
      </w:tr>
      <w:tr w:rsidR="00CC4C67" w:rsidRPr="00D4027F" w14:paraId="79CEB46A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C203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16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DDE4E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VASO DE TERMICO # 10 BIODEGRADABLE CAJA CON 20 PAQUETES CON 50 PIEZAS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2641C8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DART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B681C7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8D4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1,155.18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C7E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184.83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128E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1,340.01</w:t>
            </w:r>
          </w:p>
        </w:tc>
      </w:tr>
      <w:tr w:rsidR="00CC4C67" w:rsidRPr="00D4027F" w14:paraId="1742C407" w14:textId="77777777" w:rsidTr="00435602">
        <w:tc>
          <w:tcPr>
            <w:tcW w:w="3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36C1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17</w:t>
            </w:r>
          </w:p>
        </w:tc>
        <w:tc>
          <w:tcPr>
            <w:tcW w:w="13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D417C" w14:textId="77777777" w:rsidR="00CC4C67" w:rsidRPr="00D4027F" w:rsidRDefault="00CC4C67" w:rsidP="00CC4C67">
            <w:pPr>
              <w:ind w:left="-76"/>
              <w:jc w:val="both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Calibri"/>
                <w:color w:val="000000"/>
                <w:sz w:val="16"/>
                <w:szCs w:val="16"/>
              </w:rPr>
              <w:t>VASOS HIGIENICOS NUMERO 106 CONITOS CAJA CON 20 PAQUETES CON 250 C/ UNO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FC614CE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PRIMO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D18E5C0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B219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1,834.48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172A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293.52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74F0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2,128.00</w:t>
            </w:r>
          </w:p>
        </w:tc>
      </w:tr>
      <w:tr w:rsidR="00CC4C67" w:rsidRPr="00D4027F" w14:paraId="16460341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F3CA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18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95E0" w14:textId="24F86F15" w:rsidR="00CC4C67" w:rsidRPr="00CC4C67" w:rsidRDefault="00CC4C67" w:rsidP="00CC4C67">
            <w:pPr>
              <w:ind w:left="-76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>TAPA PARA VASO #8, CAJA CON 20 PAQUETES DE 50 PIEZAS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75B99833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REYMA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6C10D6F5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6DB6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751.72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D0EF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120.28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374B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872.00</w:t>
            </w:r>
          </w:p>
        </w:tc>
      </w:tr>
      <w:tr w:rsidR="00CC4C67" w:rsidRPr="00D4027F" w14:paraId="2B2AF84B" w14:textId="77777777" w:rsidTr="00435602">
        <w:tc>
          <w:tcPr>
            <w:tcW w:w="3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8146" w14:textId="77777777" w:rsidR="00CC4C67" w:rsidRPr="00D4027F" w:rsidRDefault="00CC4C67" w:rsidP="00CC4C67">
            <w:pPr>
              <w:pStyle w:val="Standard"/>
              <w:spacing w:after="0"/>
              <w:ind w:right="77"/>
              <w:jc w:val="center"/>
              <w:rPr>
                <w:rFonts w:ascii="Arial Narrow" w:eastAsia="Arial" w:hAnsi="Arial Narrow" w:cstheme="majorHAnsi"/>
                <w:sz w:val="16"/>
                <w:szCs w:val="16"/>
              </w:rPr>
            </w:pPr>
            <w:r w:rsidRPr="00D4027F">
              <w:rPr>
                <w:rFonts w:ascii="Arial Narrow" w:eastAsia="Arial" w:hAnsi="Arial Narrow" w:cstheme="majorHAnsi"/>
                <w:sz w:val="16"/>
                <w:szCs w:val="16"/>
              </w:rPr>
              <w:t>19</w:t>
            </w:r>
          </w:p>
        </w:tc>
        <w:tc>
          <w:tcPr>
            <w:tcW w:w="137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17CC" w14:textId="69CA2C67" w:rsidR="00CC4C67" w:rsidRPr="00CC4C67" w:rsidRDefault="00CC4C67" w:rsidP="00CC4C67">
            <w:pPr>
              <w:ind w:left="-76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C4C67">
              <w:rPr>
                <w:rFonts w:ascii="Arial Narrow" w:hAnsi="Arial Narrow" w:cs="Calibri"/>
                <w:color w:val="000000"/>
                <w:sz w:val="16"/>
                <w:szCs w:val="16"/>
              </w:rPr>
              <w:t>TAPA PARA VASO #10, CAJA CON 20 PAQUETES DE 50 PIEZAS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6C8BDE1" w14:textId="77777777" w:rsidR="00CC4C67" w:rsidRPr="00D4027F" w:rsidRDefault="00CC4C67" w:rsidP="00CC4C67">
            <w:pPr>
              <w:ind w:left="-76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theme="majorHAnsi"/>
                <w:sz w:val="16"/>
                <w:szCs w:val="16"/>
              </w:rPr>
              <w:t>DART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3E295999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theme="majorHAnsi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CAJA</w:t>
            </w:r>
          </w:p>
        </w:tc>
        <w:tc>
          <w:tcPr>
            <w:tcW w:w="79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1BE5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             920.00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0DD1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   147.20</w:t>
            </w:r>
          </w:p>
        </w:tc>
        <w:tc>
          <w:tcPr>
            <w:tcW w:w="7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B46F" w14:textId="77777777" w:rsidR="00CC4C67" w:rsidRPr="00D4027F" w:rsidRDefault="00CC4C67" w:rsidP="00CC4C67">
            <w:pPr>
              <w:pStyle w:val="Textoindependiente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4027F">
              <w:rPr>
                <w:rFonts w:ascii="Arial Narrow" w:hAnsi="Arial Narrow" w:cs="Arial"/>
                <w:sz w:val="16"/>
                <w:szCs w:val="16"/>
              </w:rPr>
              <w:t>$    1,067.20</w:t>
            </w:r>
          </w:p>
        </w:tc>
      </w:tr>
    </w:tbl>
    <w:p w14:paraId="3C9E00B8" w14:textId="77777777" w:rsidR="00AD4FD2" w:rsidRPr="000F7248" w:rsidRDefault="00AD4FD2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20"/>
          <w:szCs w:val="20"/>
        </w:rPr>
      </w:pPr>
    </w:p>
    <w:p w14:paraId="148E6DCF" w14:textId="77777777" w:rsidR="00AD4FD2" w:rsidRDefault="00AD4FD2" w:rsidP="00AD4FD2">
      <w:pPr>
        <w:ind w:right="140"/>
        <w:jc w:val="both"/>
        <w:rPr>
          <w:rFonts w:ascii="Arial Narrow" w:eastAsiaTheme="minorEastAsia" w:hAnsi="Arial Narrow" w:cstheme="majorHAnsi"/>
        </w:rPr>
      </w:pPr>
      <w:r>
        <w:t>[…]</w:t>
      </w:r>
    </w:p>
    <w:p w14:paraId="0408BAAB" w14:textId="77777777" w:rsidR="00AD4FD2" w:rsidRPr="001409A0" w:rsidRDefault="00AD4FD2" w:rsidP="00AD4FD2">
      <w:pPr>
        <w:ind w:right="140"/>
        <w:jc w:val="both"/>
        <w:rPr>
          <w:rFonts w:ascii="Arial Narrow" w:hAnsi="Arial Narrow"/>
        </w:rPr>
      </w:pPr>
    </w:p>
    <w:p w14:paraId="4BCE786A" w14:textId="288ECF30" w:rsidR="00AD4FD2" w:rsidRPr="00CC4C67" w:rsidRDefault="00DE665F" w:rsidP="005B6E1B">
      <w:pPr>
        <w:widowControl/>
        <w:jc w:val="both"/>
        <w:rPr>
          <w:rFonts w:ascii="Arial Narrow" w:hAnsi="Arial Narrow"/>
          <w:sz w:val="18"/>
          <w:szCs w:val="18"/>
        </w:rPr>
      </w:pPr>
      <w:r w:rsidRPr="00CC4C67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 w:rsidRPr="00CC4C67">
        <w:rPr>
          <w:rFonts w:ascii="Arial Narrow" w:hAnsi="Arial Narrow"/>
          <w:sz w:val="18"/>
          <w:szCs w:val="18"/>
        </w:rPr>
        <w:t xml:space="preserve"> día</w:t>
      </w:r>
      <w:r w:rsidRPr="00CC4C67">
        <w:rPr>
          <w:rFonts w:ascii="Arial Narrow" w:hAnsi="Arial Narrow"/>
          <w:sz w:val="18"/>
          <w:szCs w:val="18"/>
        </w:rPr>
        <w:t xml:space="preserve"> que </w:t>
      </w:r>
      <w:r w:rsidR="007F26B7" w:rsidRPr="00CC4C67">
        <w:rPr>
          <w:rFonts w:ascii="Arial Narrow" w:hAnsi="Arial Narrow"/>
          <w:sz w:val="18"/>
          <w:szCs w:val="18"/>
        </w:rPr>
        <w:t>inició</w:t>
      </w:r>
      <w:r w:rsidRPr="00CC4C67">
        <w:rPr>
          <w:rFonts w:ascii="Arial Narrow" w:hAnsi="Arial Narrow"/>
          <w:sz w:val="18"/>
          <w:szCs w:val="18"/>
        </w:rPr>
        <w:t xml:space="preserve"> </w:t>
      </w:r>
      <w:r w:rsidR="000F7248" w:rsidRPr="00CC4C67">
        <w:rPr>
          <w:rFonts w:ascii="Arial Narrow" w:hAnsi="Arial Narrow"/>
          <w:sz w:val="18"/>
          <w:szCs w:val="18"/>
        </w:rPr>
        <w:t xml:space="preserve">siendo </w:t>
      </w:r>
      <w:r w:rsidRPr="00CC4C67">
        <w:rPr>
          <w:rFonts w:ascii="Arial Narrow" w:hAnsi="Arial Narrow"/>
          <w:sz w:val="18"/>
          <w:szCs w:val="18"/>
        </w:rPr>
        <w:t xml:space="preserve">las </w:t>
      </w:r>
      <w:r w:rsidR="00AD4FD2" w:rsidRPr="00CC4C67">
        <w:rPr>
          <w:rFonts w:ascii="Arial Narrow" w:hAnsi="Arial Narrow"/>
          <w:sz w:val="18"/>
          <w:szCs w:val="18"/>
        </w:rPr>
        <w:t>1</w:t>
      </w:r>
      <w:r w:rsidR="00CC4C67" w:rsidRPr="00CC4C67">
        <w:rPr>
          <w:rFonts w:ascii="Arial Narrow" w:hAnsi="Arial Narrow"/>
          <w:sz w:val="18"/>
          <w:szCs w:val="18"/>
        </w:rPr>
        <w:t>9</w:t>
      </w:r>
      <w:r w:rsidRPr="00CC4C67">
        <w:rPr>
          <w:rFonts w:ascii="Arial Narrow" w:hAnsi="Arial Narrow"/>
          <w:sz w:val="18"/>
          <w:szCs w:val="18"/>
        </w:rPr>
        <w:t>:</w:t>
      </w:r>
      <w:r w:rsidR="009F306C" w:rsidRPr="00CC4C67">
        <w:rPr>
          <w:rFonts w:ascii="Arial Narrow" w:hAnsi="Arial Narrow"/>
          <w:sz w:val="18"/>
          <w:szCs w:val="18"/>
        </w:rPr>
        <w:t>10</w:t>
      </w:r>
      <w:r w:rsidRPr="00CC4C67">
        <w:rPr>
          <w:rFonts w:ascii="Arial Narrow" w:hAnsi="Arial Narrow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CC4C67">
        <w:rPr>
          <w:rFonts w:ascii="Arial Narrow" w:hAnsi="Arial Narrow"/>
          <w:sz w:val="18"/>
          <w:szCs w:val="18"/>
        </w:rPr>
        <w:t xml:space="preserve">a </w:t>
      </w:r>
      <w:r w:rsidRPr="00CC4C67">
        <w:rPr>
          <w:rFonts w:ascii="Arial Narrow" w:hAnsi="Arial Narrow"/>
          <w:sz w:val="18"/>
          <w:szCs w:val="18"/>
        </w:rPr>
        <w:t>que haya lugar.</w:t>
      </w:r>
      <w:r w:rsidR="007F26B7" w:rsidRPr="00CC4C67">
        <w:rPr>
          <w:rFonts w:ascii="Arial Narrow" w:hAnsi="Arial Narrow"/>
          <w:sz w:val="18"/>
          <w:szCs w:val="18"/>
        </w:rPr>
        <w:t xml:space="preserve"> </w:t>
      </w:r>
      <w:r w:rsidRPr="00CC4C67">
        <w:rPr>
          <w:rFonts w:ascii="Arial Narrow" w:hAnsi="Arial Narrow"/>
          <w:sz w:val="18"/>
          <w:szCs w:val="18"/>
        </w:rPr>
        <w:t>-------------------------------------------------------</w:t>
      </w:r>
      <w:r w:rsidR="001409A0" w:rsidRPr="00CC4C67">
        <w:rPr>
          <w:rFonts w:ascii="Arial Narrow" w:hAnsi="Arial Narrow"/>
          <w:sz w:val="18"/>
          <w:szCs w:val="18"/>
        </w:rPr>
        <w:t>-----------------------------</w:t>
      </w:r>
      <w:r w:rsidR="0009071F" w:rsidRPr="00CC4C67">
        <w:rPr>
          <w:rFonts w:ascii="Arial Narrow" w:hAnsi="Arial Narrow"/>
          <w:sz w:val="18"/>
          <w:szCs w:val="18"/>
        </w:rPr>
        <w:t>--------------------------------------</w:t>
      </w:r>
      <w:r w:rsidR="000F7248" w:rsidRPr="00CC4C67">
        <w:rPr>
          <w:rFonts w:ascii="Arial Narrow" w:hAnsi="Arial Narro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</w:t>
      </w:r>
    </w:p>
    <w:p w14:paraId="218A2211" w14:textId="77777777" w:rsidR="005B6E1B" w:rsidRDefault="005B6E1B" w:rsidP="005B6E1B">
      <w:pPr>
        <w:jc w:val="center"/>
        <w:rPr>
          <w:rFonts w:ascii="Arial Narrow" w:hAnsi="Arial Narrow" w:cstheme="majorHAnsi"/>
        </w:rPr>
      </w:pPr>
    </w:p>
    <w:p w14:paraId="5A8EE0EC" w14:textId="77777777" w:rsidR="005B6E1B" w:rsidRDefault="005B6E1B" w:rsidP="00D31669">
      <w:pPr>
        <w:rPr>
          <w:rFonts w:ascii="Arial Narrow" w:hAnsi="Arial Narrow" w:cstheme="majorHAnsi"/>
        </w:rPr>
      </w:pPr>
    </w:p>
    <w:p w14:paraId="02A1C143" w14:textId="77777777" w:rsidR="00CC4C67" w:rsidRDefault="00CC4C67" w:rsidP="005B6E1B">
      <w:pPr>
        <w:jc w:val="center"/>
        <w:rPr>
          <w:rFonts w:ascii="Arial Narrow" w:hAnsi="Arial Narrow" w:cstheme="majorHAnsi"/>
        </w:rPr>
      </w:pPr>
    </w:p>
    <w:p w14:paraId="541B01EE" w14:textId="77777777" w:rsidR="00CC4C67" w:rsidRDefault="00CC4C67" w:rsidP="005B6E1B">
      <w:pPr>
        <w:jc w:val="center"/>
        <w:rPr>
          <w:rFonts w:ascii="Arial Narrow" w:hAnsi="Arial Narrow" w:cstheme="majorHAnsi"/>
        </w:rPr>
      </w:pPr>
    </w:p>
    <w:p w14:paraId="5849A1BA" w14:textId="33BC266D" w:rsidR="005B6E1B" w:rsidRPr="004260F9" w:rsidRDefault="005B6E1B" w:rsidP="005B6E1B">
      <w:pPr>
        <w:jc w:val="center"/>
        <w:rPr>
          <w:rFonts w:ascii="Arial Narrow" w:hAnsi="Arial Narrow" w:cstheme="majorHAnsi"/>
        </w:rPr>
      </w:pPr>
      <w:r w:rsidRPr="004260F9">
        <w:rPr>
          <w:rFonts w:ascii="Arial Narrow" w:hAnsi="Arial Narrow" w:cstheme="majorHAnsi"/>
        </w:rPr>
        <w:t>LIC. ABRAHAM YASIR MACIEL MONTOYA</w:t>
      </w:r>
    </w:p>
    <w:p w14:paraId="01489CE4" w14:textId="5F95E463" w:rsidR="00AD4FD2" w:rsidRPr="005B6E1B" w:rsidRDefault="005B6E1B" w:rsidP="005B6E1B">
      <w:pPr>
        <w:jc w:val="center"/>
        <w:rPr>
          <w:rFonts w:ascii="Arial Narrow" w:hAnsi="Arial Narrow" w:cstheme="majorHAnsi"/>
          <w:b/>
        </w:rPr>
      </w:pPr>
      <w:r w:rsidRPr="004260F9">
        <w:rPr>
          <w:rFonts w:ascii="Arial Narrow" w:hAnsi="Arial Narrow" w:cstheme="majorHAnsi"/>
          <w:b/>
        </w:rPr>
        <w:t>COORDINADOR DE ADQUISICIONES DEL O.P.D. SERVICIOS DE SALUD JALISCO</w:t>
      </w:r>
    </w:p>
    <w:p w14:paraId="043E868B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6AC8281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E902BC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4B905168" w14:textId="77777777" w:rsidR="00CC4C67" w:rsidRDefault="00CC4C67" w:rsidP="00AD4FD2">
      <w:pPr>
        <w:jc w:val="center"/>
        <w:rPr>
          <w:rFonts w:ascii="Arial Narrow" w:hAnsi="Arial Narrow" w:cstheme="majorHAnsi"/>
        </w:rPr>
      </w:pPr>
    </w:p>
    <w:p w14:paraId="4A7BF31B" w14:textId="127FCAB6" w:rsidR="00571D09" w:rsidRPr="004260F9" w:rsidRDefault="005B6E1B" w:rsidP="00AD4FD2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LIC. ALEJANDRO ANTONIO ANGELINO LÓPEZ</w:t>
      </w:r>
    </w:p>
    <w:p w14:paraId="04E5C9B7" w14:textId="14679FE8" w:rsidR="00AD4FD2" w:rsidRPr="005B6E1B" w:rsidRDefault="005B6E1B" w:rsidP="005B6E1B">
      <w:pPr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  <w:color w:val="000000"/>
        </w:rPr>
        <w:t>JEFE “B” DE COMPRAS FEDERALES</w:t>
      </w:r>
      <w:r w:rsidRPr="004260F9">
        <w:rPr>
          <w:rFonts w:ascii="Arial Narrow" w:hAnsi="Arial Narrow" w:cstheme="majorHAnsi"/>
          <w:b/>
          <w:color w:val="000000"/>
        </w:rPr>
        <w:t xml:space="preserve"> DEL O.P.D. SERVICIOS DE SALUD JALISCO</w:t>
      </w:r>
    </w:p>
    <w:p w14:paraId="3ABF3AA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37CC44A2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110DD78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7A3DE662" w14:textId="77777777" w:rsidR="00CC4C67" w:rsidRDefault="00CC4C67" w:rsidP="00AD4FD2">
      <w:pPr>
        <w:jc w:val="center"/>
        <w:rPr>
          <w:rFonts w:ascii="Arial Narrow" w:hAnsi="Arial Narrow" w:cstheme="majorHAnsi"/>
        </w:rPr>
      </w:pPr>
    </w:p>
    <w:p w14:paraId="675EE6CC" w14:textId="7A8FD07B" w:rsidR="00571D09" w:rsidRPr="00126F85" w:rsidRDefault="002F0C3D" w:rsidP="00AD4FD2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LIC</w:t>
      </w:r>
      <w:r w:rsidR="00571D09" w:rsidRPr="00126F85">
        <w:rPr>
          <w:rFonts w:ascii="Arial Narrow" w:hAnsi="Arial Narrow" w:cstheme="majorHAnsi"/>
        </w:rPr>
        <w:t xml:space="preserve">. </w:t>
      </w:r>
      <w:r>
        <w:rPr>
          <w:rFonts w:ascii="Arial Narrow" w:hAnsi="Arial Narrow" w:cstheme="majorHAnsi"/>
        </w:rPr>
        <w:t>CARLOS ALEJANDRO ORQUIZ RAMÍREZ</w:t>
      </w:r>
    </w:p>
    <w:p w14:paraId="6282E632" w14:textId="741C6010" w:rsidR="007F209F" w:rsidRPr="000F7248" w:rsidRDefault="00571D09" w:rsidP="00AD4FD2">
      <w:pPr>
        <w:pStyle w:val="Sinespaciado"/>
        <w:jc w:val="center"/>
        <w:rPr>
          <w:rFonts w:ascii="Arial Narrow" w:hAnsi="Arial Narrow" w:cstheme="majorHAnsi"/>
          <w:b/>
          <w:lang w:val="es-ES_tradnl"/>
        </w:rPr>
      </w:pPr>
      <w:r w:rsidRPr="00126F85">
        <w:rPr>
          <w:rFonts w:ascii="Arial Narrow" w:hAnsi="Arial Narrow" w:cstheme="majorHAnsi"/>
          <w:b/>
          <w:lang w:val="es-ES_tradnl"/>
        </w:rPr>
        <w:t>PERSONA RESPONSABLE DEL PROCESO DE LA UNIDAD COMPRADORA DEL O.P.D. SERVICIOS DE SALUD JALISCO</w:t>
      </w:r>
    </w:p>
    <w:sectPr w:rsidR="007F209F" w:rsidRPr="000F7248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3144" w14:textId="77777777" w:rsidR="00FF02D0" w:rsidRDefault="00FF02D0">
      <w:r>
        <w:separator/>
      </w:r>
    </w:p>
  </w:endnote>
  <w:endnote w:type="continuationSeparator" w:id="0">
    <w:p w14:paraId="6A389176" w14:textId="77777777" w:rsidR="00FF02D0" w:rsidRDefault="00FF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3206" w14:textId="77777777" w:rsidR="00FF02D0" w:rsidRDefault="00FF02D0">
      <w:r>
        <w:separator/>
      </w:r>
    </w:p>
  </w:footnote>
  <w:footnote w:type="continuationSeparator" w:id="0">
    <w:p w14:paraId="687EE9A8" w14:textId="77777777" w:rsidR="00FF02D0" w:rsidRDefault="00FF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8BB85CA" w:rsidR="00131DD2" w:rsidRDefault="00221AAC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FC7459C">
          <wp:simplePos x="0" y="0"/>
          <wp:positionH relativeFrom="column">
            <wp:posOffset>-496570</wp:posOffset>
          </wp:positionH>
          <wp:positionV relativeFrom="paragraph">
            <wp:posOffset>162560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8052" w14:textId="77777777" w:rsidR="00AD4FD2" w:rsidRDefault="00AD4FD2" w:rsidP="00AD4FD2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24573E98" w14:textId="743A833A" w:rsidR="00221AAC" w:rsidRPr="00221AAC" w:rsidRDefault="00221AAC" w:rsidP="00AD4FD2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LICITACIÓN PÚBLICA LOCAL </w:t>
    </w:r>
    <w:r w:rsidR="00AD4FD2" w:rsidRPr="00AD4FD2">
      <w:rPr>
        <w:rFonts w:ascii="Arial Narrow" w:eastAsia="Arial" w:hAnsi="Arial Narrow" w:cs="Calibri Light"/>
        <w:b/>
        <w:bCs/>
        <w:iCs/>
        <w:sz w:val="18"/>
        <w:szCs w:val="18"/>
      </w:rPr>
      <w:t>SECGSSJ-LCCC-00</w:t>
    </w:r>
    <w:r w:rsidR="009F306C">
      <w:rPr>
        <w:rFonts w:ascii="Arial Narrow" w:eastAsia="Arial" w:hAnsi="Arial Narrow" w:cs="Calibri Light"/>
        <w:b/>
        <w:bCs/>
        <w:iCs/>
        <w:sz w:val="18"/>
        <w:szCs w:val="18"/>
      </w:rPr>
      <w:t>6</w:t>
    </w:r>
    <w:r w:rsidR="00AD4FD2" w:rsidRPr="00AD4FD2">
      <w:rPr>
        <w:rFonts w:ascii="Arial Narrow" w:eastAsia="Arial" w:hAnsi="Arial Narrow" w:cs="Calibri Light"/>
        <w:b/>
        <w:bCs/>
        <w:iCs/>
        <w:sz w:val="18"/>
        <w:szCs w:val="18"/>
      </w:rPr>
      <w:t xml:space="preserve">-2023 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CON CONCURRENCIA DE COMITÉ</w:t>
    </w:r>
  </w:p>
  <w:p w14:paraId="2C09EC84" w14:textId="055321DD" w:rsidR="00131DD2" w:rsidRPr="00221AAC" w:rsidRDefault="00221AAC" w:rsidP="00AD4FD2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bookmarkStart w:id="1" w:name="_2et92p0"/>
    <w:bookmarkEnd w:id="1"/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“</w:t>
    </w:r>
    <w:r w:rsidR="009F306C" w:rsidRPr="009F306C">
      <w:rPr>
        <w:rFonts w:ascii="Arial Narrow" w:eastAsia="Arial" w:hAnsi="Arial Narrow" w:cs="Calibri Light"/>
        <w:b/>
        <w:bCs/>
        <w:iCs/>
        <w:sz w:val="18"/>
        <w:szCs w:val="18"/>
      </w:rPr>
      <w:t>ADQUISICIÓN DE MATERIAL DE PAPELERÍA Y DESECHABLES PARA LOS HOSPITALES, UNIDADES MÉDICAS Y OFICINAS ADMINISTRATIVAS DEL ORGANISMO PÚBLICO DESCENTRALIZADO SERVICIOS DE SALUD JALISCO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314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0F7248"/>
    <w:rsid w:val="00100FED"/>
    <w:rsid w:val="0010174C"/>
    <w:rsid w:val="00101A32"/>
    <w:rsid w:val="00102ADF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752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62D65"/>
    <w:rsid w:val="0017235A"/>
    <w:rsid w:val="001746F1"/>
    <w:rsid w:val="00174BE4"/>
    <w:rsid w:val="00175423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C19"/>
    <w:rsid w:val="002215A8"/>
    <w:rsid w:val="00221AAC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670F8"/>
    <w:rsid w:val="00273799"/>
    <w:rsid w:val="0027614C"/>
    <w:rsid w:val="00277A06"/>
    <w:rsid w:val="0028165B"/>
    <w:rsid w:val="002821F0"/>
    <w:rsid w:val="00282670"/>
    <w:rsid w:val="002852B7"/>
    <w:rsid w:val="0028602C"/>
    <w:rsid w:val="0028764D"/>
    <w:rsid w:val="0029008F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0C3D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5688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2521"/>
    <w:rsid w:val="003A543C"/>
    <w:rsid w:val="003A58C3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14F86"/>
    <w:rsid w:val="00420EB2"/>
    <w:rsid w:val="004213C6"/>
    <w:rsid w:val="00422ED5"/>
    <w:rsid w:val="00425397"/>
    <w:rsid w:val="004261E2"/>
    <w:rsid w:val="00426B3E"/>
    <w:rsid w:val="00431BC0"/>
    <w:rsid w:val="0043215B"/>
    <w:rsid w:val="00435602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6E1B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743A"/>
    <w:rsid w:val="00661BBB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0BD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8BF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4896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306C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713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4FD2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2C0D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4C67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1669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72B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2D0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5B9BA270A723417A9DC16437442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C-8643-4638-A83C-647560E7E4BF}"/>
      </w:docPartPr>
      <w:docPartBody>
        <w:p w:rsidR="00245ACD" w:rsidRDefault="00D43C54" w:rsidP="00D43C54">
          <w:pPr>
            <w:pStyle w:val="5B9BA270A723417A9DC1643744243DA9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85C4B"/>
    <w:rsid w:val="001B5BC1"/>
    <w:rsid w:val="0023317C"/>
    <w:rsid w:val="00244CDE"/>
    <w:rsid w:val="00245ACD"/>
    <w:rsid w:val="00251F0D"/>
    <w:rsid w:val="00253502"/>
    <w:rsid w:val="0025371D"/>
    <w:rsid w:val="002A7BE9"/>
    <w:rsid w:val="002B66A3"/>
    <w:rsid w:val="00303709"/>
    <w:rsid w:val="00303C37"/>
    <w:rsid w:val="003043E7"/>
    <w:rsid w:val="003158E7"/>
    <w:rsid w:val="00360931"/>
    <w:rsid w:val="00360A2E"/>
    <w:rsid w:val="0039503C"/>
    <w:rsid w:val="003A5344"/>
    <w:rsid w:val="003A67B7"/>
    <w:rsid w:val="003D4CFB"/>
    <w:rsid w:val="003D6854"/>
    <w:rsid w:val="003F4958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8651A"/>
    <w:rsid w:val="005A73E0"/>
    <w:rsid w:val="005E70DB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27713"/>
    <w:rsid w:val="00C4598E"/>
    <w:rsid w:val="00C93A39"/>
    <w:rsid w:val="00C96DFC"/>
    <w:rsid w:val="00CD0491"/>
    <w:rsid w:val="00CF0203"/>
    <w:rsid w:val="00D17513"/>
    <w:rsid w:val="00D226E6"/>
    <w:rsid w:val="00D23688"/>
    <w:rsid w:val="00D43C54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9381D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C5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5B9BA270A723417A9DC1643744243DA9">
    <w:name w:val="5B9BA270A723417A9DC1643744243DA9"/>
    <w:rsid w:val="00D43C5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27 de abril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SECGSSJ-LCCC-006-2023 CON CONCURRENCIA DE COMITÉ</dc:subject>
  <dc:creator>Christian</dc:creator>
  <dc:description>Anexo 1 Gafetes.zip.</dc:description>
  <cp:lastModifiedBy>Direccion de Recursos Materiales</cp:lastModifiedBy>
  <cp:revision>4</cp:revision>
  <cp:lastPrinted>2023-06-09T14:55:00Z</cp:lastPrinted>
  <dcterms:created xsi:type="dcterms:W3CDTF">2023-06-09T14:46:00Z</dcterms:created>
  <dcterms:modified xsi:type="dcterms:W3CDTF">2023-06-09T15:18:00Z</dcterms:modified>
  <cp:category>“ADQUISICIÓN DE MATERIAL DE PAPELERÍA Y DESECHABLES PARA LOS HOSPITALES, UNIDADES MÉDICAS Y OFICINAS ADMINISTRATIVAS DEL ORGANISMO PÚBLICO DESCENTRALIZADO SERVICIOS DE SALUD JALISCO”</cp:category>
</cp:coreProperties>
</file>