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2AD38DF5" w:rsidR="00964F34" w:rsidRPr="007D14BB" w:rsidRDefault="00EE5918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NACIONAL LSCC-027-2022 SIN CONCURRENCIA DEL COMITÉ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795FFC7B" w14:textId="3AFD6306" w:rsidR="00947C11" w:rsidRPr="001947BE" w:rsidRDefault="007669DE" w:rsidP="005A6D17">
      <w:pPr>
        <w:ind w:right="140"/>
        <w:jc w:val="center"/>
        <w:rPr>
          <w:rFonts w:ascii="Arial Narrow" w:hAnsi="Arial Narrow"/>
          <w:sz w:val="64"/>
          <w:szCs w:val="64"/>
        </w:rPr>
      </w:pPr>
      <w:sdt>
        <w:sdtPr>
          <w:rPr>
            <w:rFonts w:ascii="Arial Narrow" w:hAnsi="Arial Narrow" w:cs="Arial"/>
            <w:b/>
            <w:sz w:val="64"/>
            <w:szCs w:val="64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37393">
            <w:rPr>
              <w:rFonts w:ascii="Arial Narrow" w:hAnsi="Arial Narrow" w:cs="Arial"/>
              <w:b/>
              <w:sz w:val="64"/>
              <w:szCs w:val="64"/>
              <w:lang w:eastAsia="ar-SA"/>
            </w:rPr>
            <w:t>“ADQUISICIÓN DE SILLAS DE RUEDAS PARA EL CENTRO DE ATENCIÓN INTEGRAL EN SALUD MENTAL (CAISAME) DE ESTANCIA PROLONGADA ADSCRITO AL INSTITUTO JALISCIENSE DE SALUD MENTAL (SALME)”</w:t>
          </w:r>
        </w:sdtContent>
      </w:sdt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6714ED51" w14:textId="6132D441" w:rsidR="001947BE" w:rsidRDefault="001947BE" w:rsidP="00440396">
      <w:pPr>
        <w:rPr>
          <w:rFonts w:ascii="Arial Narrow" w:eastAsia="Arial" w:hAnsi="Arial Narrow" w:cs="Arial"/>
          <w:lang w:val="es-ES"/>
        </w:rPr>
      </w:pPr>
    </w:p>
    <w:p w14:paraId="7605A0EB" w14:textId="50FB595F" w:rsidR="001947BE" w:rsidRDefault="001947BE" w:rsidP="00440396">
      <w:pPr>
        <w:rPr>
          <w:rFonts w:ascii="Arial Narrow" w:eastAsia="Arial" w:hAnsi="Arial Narrow" w:cs="Arial"/>
          <w:lang w:val="es-ES"/>
        </w:rPr>
      </w:pPr>
    </w:p>
    <w:p w14:paraId="55A0710B" w14:textId="77777777" w:rsidR="001947BE" w:rsidRDefault="001947BE" w:rsidP="00440396">
      <w:pPr>
        <w:rPr>
          <w:rFonts w:ascii="Arial Narrow" w:eastAsia="Arial" w:hAnsi="Arial Narrow" w:cs="Arial"/>
          <w:lang w:val="es-ES"/>
        </w:rPr>
      </w:pPr>
    </w:p>
    <w:p w14:paraId="4224ECCA" w14:textId="64C5C353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</w:t>
          </w:r>
          <w:r w:rsidR="00EE5918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09</w:t>
          </w:r>
          <w:r w:rsidR="005A6D1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de </w:t>
          </w:r>
          <w:r w:rsidR="00EE5918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septiembre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5A2BE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010CB260" w14:textId="77777777" w:rsidR="005A2BE3" w:rsidRDefault="005A2BE3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65010FCA" w:rsidR="00AC75D7" w:rsidRPr="001409A0" w:rsidRDefault="00AC75D7" w:rsidP="001150F1">
      <w:pPr>
        <w:ind w:right="-142"/>
        <w:jc w:val="both"/>
        <w:rPr>
          <w:rFonts w:ascii="Arial Narrow" w:eastAsia="Arial" w:hAnsi="Arial Narrow" w:cs="Calibri Light"/>
          <w:bCs/>
          <w:spacing w:val="1"/>
        </w:rPr>
      </w:pPr>
      <w:r w:rsidRPr="001409A0">
        <w:rPr>
          <w:rFonts w:ascii="Arial Narrow" w:eastAsiaTheme="minorEastAsia" w:hAnsi="Arial Narrow" w:cstheme="majorHAnsi"/>
        </w:rPr>
        <w:t xml:space="preserve">En la ciudad de Guadalajara Jalisco, siendo </w:t>
      </w:r>
      <w:r w:rsidR="002D73D3" w:rsidRPr="001161D0">
        <w:rPr>
          <w:rFonts w:ascii="Arial Narrow" w:eastAsiaTheme="minorEastAsia" w:hAnsi="Arial Narrow" w:cstheme="majorHAnsi"/>
        </w:rPr>
        <w:t>las 1</w:t>
      </w:r>
      <w:r w:rsidR="00EE5918">
        <w:rPr>
          <w:rFonts w:ascii="Arial Narrow" w:eastAsiaTheme="minorEastAsia" w:hAnsi="Arial Narrow" w:cstheme="majorHAnsi"/>
        </w:rPr>
        <w:t>2</w:t>
      </w:r>
      <w:r w:rsidR="002D73D3" w:rsidRPr="001161D0">
        <w:rPr>
          <w:rFonts w:ascii="Arial Narrow" w:eastAsiaTheme="minorEastAsia" w:hAnsi="Arial Narrow" w:cstheme="majorHAnsi"/>
        </w:rPr>
        <w:t>:</w:t>
      </w:r>
      <w:r w:rsidR="00EE5918">
        <w:rPr>
          <w:rFonts w:ascii="Arial Narrow" w:eastAsiaTheme="minorEastAsia" w:hAnsi="Arial Narrow" w:cstheme="majorHAnsi"/>
        </w:rPr>
        <w:t>3</w:t>
      </w:r>
      <w:r w:rsidR="00E06AF4" w:rsidRPr="001161D0">
        <w:rPr>
          <w:rFonts w:ascii="Arial Narrow" w:eastAsiaTheme="minorEastAsia" w:hAnsi="Arial Narrow" w:cstheme="majorHAnsi"/>
        </w:rPr>
        <w:t>0</w:t>
      </w:r>
      <w:r w:rsidR="002D73D3">
        <w:rPr>
          <w:rFonts w:ascii="Arial Narrow" w:eastAsiaTheme="minorEastAsia" w:hAnsi="Arial Narrow" w:cstheme="majorHAnsi"/>
        </w:rPr>
        <w:t xml:space="preserve"> horas del</w:t>
      </w:r>
      <w:r w:rsidRPr="001409A0">
        <w:rPr>
          <w:rFonts w:ascii="Arial Narrow" w:eastAsiaTheme="minorEastAsia" w:hAnsi="Arial Narrow" w:cstheme="majorHAnsi"/>
        </w:rPr>
        <w:t xml:space="preserve">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E5918">
            <w:rPr>
              <w:rFonts w:ascii="Arial Narrow" w:eastAsiaTheme="minorEastAsia" w:hAnsi="Arial Narrow" w:cstheme="majorHAnsi"/>
              <w:b/>
              <w:bCs/>
            </w:rPr>
            <w:t xml:space="preserve"> 09 de septiembre de 2022</w:t>
          </w:r>
        </w:sdtContent>
      </w:sdt>
      <w:r w:rsidRPr="001409A0">
        <w:rPr>
          <w:rFonts w:ascii="Arial Narrow" w:eastAsiaTheme="minorEastAsia" w:hAnsi="Arial Narrow" w:cstheme="majorHAnsi"/>
        </w:rPr>
        <w:t xml:space="preserve"> en el Auditorio </w:t>
      </w:r>
      <w:r w:rsidR="00A268D1" w:rsidRPr="001409A0">
        <w:rPr>
          <w:rFonts w:ascii="Arial Narrow" w:eastAsiaTheme="minorEastAsia" w:hAnsi="Arial Narrow" w:cstheme="majorHAnsi"/>
        </w:rPr>
        <w:t xml:space="preserve">de las oficinas centrales </w:t>
      </w:r>
      <w:r w:rsidRPr="001409A0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1409A0">
        <w:rPr>
          <w:rFonts w:ascii="Arial Narrow" w:eastAsiaTheme="minorEastAsia" w:hAnsi="Arial Narrow" w:cstheme="majorHAnsi"/>
        </w:rPr>
        <w:t xml:space="preserve"> Alzaga</w:t>
      </w:r>
      <w:r w:rsidRPr="001409A0">
        <w:rPr>
          <w:rFonts w:ascii="Arial Narrow" w:eastAsiaTheme="minorEastAsia" w:hAnsi="Arial Narrow" w:cstheme="majorHAnsi"/>
        </w:rPr>
        <w:t xml:space="preserve"> 107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C.P. 44100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col. Centro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Guadalajara, Jalisco, se reunieron</w:t>
      </w:r>
      <w:r w:rsidR="004855FA" w:rsidRPr="001409A0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="002D73D3">
        <w:rPr>
          <w:rFonts w:ascii="Arial Narrow" w:eastAsiaTheme="minorEastAsia" w:hAnsi="Arial Narrow" w:cstheme="majorHAnsi"/>
        </w:rPr>
        <w:t xml:space="preserve"> del presente documento</w:t>
      </w:r>
      <w:r w:rsidRPr="001409A0">
        <w:rPr>
          <w:rFonts w:ascii="Arial Narrow" w:eastAsiaTheme="minorEastAsia" w:hAnsi="Arial Narrow" w:cstheme="majorHAnsi"/>
        </w:rPr>
        <w:t>, para efectuar</w:t>
      </w:r>
      <w:r w:rsidR="00AB0602" w:rsidRPr="001409A0">
        <w:rPr>
          <w:rFonts w:ascii="Arial Narrow" w:eastAsiaTheme="minorEastAsia" w:hAnsi="Arial Narrow" w:cstheme="majorHAnsi"/>
        </w:rPr>
        <w:t xml:space="preserve"> la</w:t>
      </w:r>
      <w:r w:rsidRPr="001409A0">
        <w:rPr>
          <w:rFonts w:ascii="Arial Narrow" w:eastAsiaTheme="minorEastAsia" w:hAnsi="Arial Narrow" w:cstheme="majorHAnsi"/>
        </w:rPr>
        <w:t xml:space="preserve"> </w:t>
      </w:r>
      <w:r w:rsidR="00A268D1" w:rsidRPr="001409A0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1409A0">
        <w:rPr>
          <w:rFonts w:ascii="Arial Narrow" w:eastAsiaTheme="minorEastAsia" w:hAnsi="Arial Narrow" w:cstheme="majorHAnsi"/>
        </w:rPr>
        <w:t xml:space="preserve"> al Fallo de Adjudicación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1409A0">
        <w:rPr>
          <w:rFonts w:ascii="Arial Narrow" w:eastAsiaTheme="minorEastAsia" w:hAnsi="Arial Narrow" w:cstheme="majorHAnsi"/>
        </w:rPr>
        <w:t>de la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5918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NACIONAL LSCC-027-2022 SIN CONCURRENCIA DEL COMITÉ</w:t>
          </w:r>
        </w:sdtContent>
      </w:sdt>
      <w:r w:rsidR="00A268D1" w:rsidRPr="001409A0">
        <w:rPr>
          <w:rFonts w:ascii="Arial Narrow" w:eastAsiaTheme="minorEastAsia" w:hAnsi="Arial Narrow" w:cstheme="majorHAnsi"/>
        </w:rPr>
        <w:t xml:space="preserve">, emitido por el </w:t>
      </w:r>
      <w:r w:rsidR="00A268D1" w:rsidRPr="001409A0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Jalisco, con fecha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406580584"/>
          <w:placeholder>
            <w:docPart w:val="A42D921E343949EB802F1265CF3378C6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E5918">
            <w:rPr>
              <w:rFonts w:ascii="Arial Narrow" w:eastAsiaTheme="minorEastAsia" w:hAnsi="Arial Narrow" w:cstheme="majorHAnsi"/>
              <w:b/>
              <w:bCs/>
            </w:rPr>
            <w:t xml:space="preserve"> 09 de septiembre de 2022</w:t>
          </w:r>
        </w:sdtContent>
      </w:sdt>
      <w:r w:rsidR="00A268D1" w:rsidRPr="001409A0">
        <w:rPr>
          <w:rFonts w:ascii="Arial Narrow" w:eastAsia="Arial" w:hAnsi="Arial Narrow" w:cs="Calibri Light"/>
          <w:bCs/>
          <w:spacing w:val="1"/>
        </w:rPr>
        <w:t>, de conformidad con los puntos siguientes:</w:t>
      </w:r>
    </w:p>
    <w:p w14:paraId="35756AFB" w14:textId="74C7AA45" w:rsidR="00CF029E" w:rsidRPr="001409A0" w:rsidRDefault="00EE5918" w:rsidP="00EE5918">
      <w:pPr>
        <w:tabs>
          <w:tab w:val="left" w:pos="7125"/>
        </w:tabs>
        <w:jc w:val="both"/>
        <w:rPr>
          <w:rFonts w:ascii="Arial Narrow" w:eastAsiaTheme="minorEastAsia" w:hAnsi="Arial Narrow" w:cstheme="majorHAnsi"/>
          <w:b/>
          <w:bCs/>
        </w:rPr>
      </w:pPr>
      <w:r>
        <w:rPr>
          <w:rFonts w:ascii="Arial Narrow" w:eastAsiaTheme="minorEastAsia" w:hAnsi="Arial Narrow" w:cstheme="majorHAnsi"/>
          <w:b/>
          <w:bCs/>
        </w:rPr>
        <w:tab/>
      </w:r>
    </w:p>
    <w:p w14:paraId="652268A8" w14:textId="25FC7FBA" w:rsidR="00813261" w:rsidRDefault="00652440" w:rsidP="00337393">
      <w:pPr>
        <w:ind w:left="2552" w:right="-142"/>
        <w:jc w:val="both"/>
        <w:rPr>
          <w:rFonts w:ascii="Arial Narrow" w:eastAsiaTheme="minorEastAsia" w:hAnsi="Arial Narrow" w:cstheme="majorHAnsi"/>
        </w:rPr>
      </w:pPr>
      <w:proofErr w:type="gramStart"/>
      <w:r w:rsidRPr="001409A0">
        <w:rPr>
          <w:rFonts w:ascii="Arial Narrow" w:eastAsiaTheme="minorEastAsia" w:hAnsi="Arial Narrow" w:cstheme="majorHAnsi"/>
          <w:b/>
          <w:bCs/>
        </w:rPr>
        <w:t>PRIMER</w:t>
      </w:r>
      <w:r w:rsidR="00A268D1" w:rsidRPr="001409A0">
        <w:rPr>
          <w:rFonts w:ascii="Arial Narrow" w:eastAsiaTheme="minorEastAsia" w:hAnsi="Arial Narrow" w:cstheme="majorHAnsi"/>
          <w:b/>
          <w:bCs/>
        </w:rPr>
        <w:t>O</w:t>
      </w:r>
      <w:r w:rsidRPr="001409A0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1409A0">
        <w:rPr>
          <w:rFonts w:ascii="Arial Narrow" w:eastAsiaTheme="minorEastAsia" w:hAnsi="Arial Narrow" w:cstheme="majorHAnsi"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>En el Fallo de Adjudicación</w:t>
      </w:r>
      <w:r w:rsidR="0081326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5918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NACIONAL LSCC-027-2022 SIN CONCURRENCIA DEL COMITÉ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 xml:space="preserve">, respecto a </w:t>
      </w:r>
      <w:r w:rsidR="0057572C">
        <w:rPr>
          <w:rFonts w:ascii="Arial Narrow" w:eastAsiaTheme="minorEastAsia" w:hAnsi="Arial Narrow" w:cstheme="majorHAnsi"/>
        </w:rPr>
        <w:t>la</w:t>
      </w:r>
      <w:r w:rsidR="00874EB8">
        <w:rPr>
          <w:rFonts w:ascii="Arial Narrow" w:eastAsiaTheme="minorEastAsia" w:hAnsi="Arial Narrow" w:cstheme="majorHAnsi"/>
        </w:rPr>
        <w:t xml:space="preserve">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37393">
            <w:rPr>
              <w:rFonts w:ascii="Arial Narrow" w:hAnsi="Arial Narrow" w:cs="Arial"/>
              <w:b/>
              <w:smallCaps/>
            </w:rPr>
            <w:t>“ADQUISICIÓN DE SILLAS DE RUEDAS PARA EL CENTRO DE ATENCIÓN INTEGRAL EN SALUD MENTAL (CAISAME) DE ESTANCIA PROLONGADA ADSCRITO AL INSTITUTO JALISCIENSE DE SALUD MENTAL (SALME)”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>,</w:t>
      </w:r>
      <w:bookmarkStart w:id="1" w:name="_Hlk104570666"/>
      <w:r w:rsidR="00813261" w:rsidRPr="001409A0">
        <w:rPr>
          <w:rFonts w:ascii="Arial Narrow" w:eastAsiaTheme="minorEastAsia" w:hAnsi="Arial Narrow" w:cstheme="majorHAnsi"/>
        </w:rPr>
        <w:t xml:space="preserve"> </w:t>
      </w:r>
      <w:r w:rsidR="001947BE">
        <w:rPr>
          <w:rFonts w:ascii="Arial Narrow" w:eastAsiaTheme="minorEastAsia" w:hAnsi="Arial Narrow" w:cstheme="majorHAnsi"/>
        </w:rPr>
        <w:t>en el</w:t>
      </w:r>
      <w:r w:rsidR="001161D0" w:rsidRPr="001161D0">
        <w:rPr>
          <w:rFonts w:ascii="Arial Narrow" w:eastAsiaTheme="minorEastAsia" w:hAnsi="Arial Narrow" w:cstheme="majorHAnsi"/>
        </w:rPr>
        <w:t xml:space="preserve"> </w:t>
      </w:r>
      <w:r w:rsidR="00E06AF4">
        <w:rPr>
          <w:rFonts w:ascii="Arial Narrow" w:eastAsiaTheme="minorEastAsia" w:hAnsi="Arial Narrow" w:cstheme="majorHAnsi"/>
        </w:rPr>
        <w:t>apartado “</w:t>
      </w:r>
      <w:r w:rsidR="00E06AF4" w:rsidRPr="009445A3">
        <w:rPr>
          <w:rFonts w:ascii="Arial Narrow" w:eastAsiaTheme="minorEastAsia" w:hAnsi="Arial Narrow" w:cstheme="majorHAnsi"/>
          <w:b/>
          <w:bCs/>
        </w:rPr>
        <w:t>PROPOSICIONES</w:t>
      </w:r>
      <w:r w:rsidR="001161D0">
        <w:rPr>
          <w:rFonts w:ascii="Arial Narrow" w:eastAsiaTheme="minorEastAsia" w:hAnsi="Arial Narrow" w:cstheme="majorHAnsi"/>
        </w:rPr>
        <w:t>”</w:t>
      </w:r>
      <w:r w:rsidR="001947BE">
        <w:rPr>
          <w:rFonts w:ascii="Arial Narrow" w:eastAsiaTheme="minorEastAsia" w:hAnsi="Arial Narrow" w:cstheme="majorHAnsi"/>
        </w:rPr>
        <w:t xml:space="preserve"> fracción </w:t>
      </w:r>
      <w:r w:rsidR="001947BE" w:rsidRPr="001947BE">
        <w:rPr>
          <w:rFonts w:ascii="Arial Narrow" w:eastAsiaTheme="minorEastAsia" w:hAnsi="Arial Narrow" w:cstheme="majorHAnsi"/>
          <w:b/>
          <w:bCs/>
        </w:rPr>
        <w:t>IV</w:t>
      </w:r>
      <w:r w:rsidR="001161D0" w:rsidRPr="001947BE">
        <w:rPr>
          <w:rFonts w:ascii="Arial Narrow" w:eastAsiaTheme="minorEastAsia" w:hAnsi="Arial Narrow" w:cstheme="majorHAnsi"/>
          <w:b/>
          <w:bCs/>
        </w:rPr>
        <w:t>,</w:t>
      </w:r>
      <w:r w:rsidR="001161D0">
        <w:rPr>
          <w:rFonts w:ascii="Arial Narrow" w:eastAsiaTheme="minorEastAsia" w:hAnsi="Arial Narrow" w:cstheme="majorHAnsi"/>
        </w:rPr>
        <w:t xml:space="preserve"> </w:t>
      </w:r>
      <w:r w:rsidR="00F92F8A" w:rsidRPr="00177177">
        <w:rPr>
          <w:rFonts w:ascii="Arial Narrow" w:eastAsiaTheme="minorEastAsia" w:hAnsi="Arial Narrow" w:cstheme="majorHAnsi"/>
        </w:rPr>
        <w:t xml:space="preserve">específicamente en </w:t>
      </w:r>
      <w:r w:rsidR="00337393">
        <w:rPr>
          <w:rFonts w:ascii="Arial Narrow" w:eastAsiaTheme="minorEastAsia" w:hAnsi="Arial Narrow" w:cstheme="majorHAnsi"/>
        </w:rPr>
        <w:t>la columna</w:t>
      </w:r>
      <w:r w:rsidR="001947BE">
        <w:rPr>
          <w:rFonts w:ascii="Arial Narrow" w:eastAsiaTheme="minorEastAsia" w:hAnsi="Arial Narrow" w:cstheme="majorHAnsi"/>
        </w:rPr>
        <w:t xml:space="preserve"> </w:t>
      </w:r>
      <w:r w:rsidR="00A8672D" w:rsidRPr="00A8672D">
        <w:rPr>
          <w:rFonts w:ascii="Arial Narrow" w:eastAsiaTheme="minorEastAsia" w:hAnsi="Arial Narrow" w:cstheme="majorHAnsi"/>
          <w:b/>
          <w:bCs/>
        </w:rPr>
        <w:t>“DESCRIPCIÓN TÉCNICA</w:t>
      </w:r>
      <w:r w:rsidR="00A8672D">
        <w:rPr>
          <w:rFonts w:ascii="Arial Narrow" w:eastAsiaTheme="minorEastAsia" w:hAnsi="Arial Narrow" w:cstheme="majorHAnsi"/>
        </w:rPr>
        <w:t xml:space="preserve">” </w:t>
      </w:r>
      <w:bookmarkEnd w:id="1"/>
      <w:r w:rsidR="00337393">
        <w:rPr>
          <w:rFonts w:ascii="Arial Narrow" w:eastAsiaTheme="minorEastAsia" w:hAnsi="Arial Narrow" w:cstheme="majorHAnsi"/>
        </w:rPr>
        <w:t>del cuadro de adjudicación…</w:t>
      </w:r>
    </w:p>
    <w:p w14:paraId="7573C0D1" w14:textId="77777777" w:rsidR="00813261" w:rsidRPr="001409A0" w:rsidRDefault="00813261" w:rsidP="00652440">
      <w:pPr>
        <w:jc w:val="both"/>
        <w:rPr>
          <w:rFonts w:ascii="Arial Narrow" w:eastAsiaTheme="minorEastAsia" w:hAnsi="Arial Narrow" w:cstheme="majorHAnsi"/>
        </w:rPr>
      </w:pPr>
    </w:p>
    <w:p w14:paraId="31EDC4E6" w14:textId="77777777" w:rsidR="00A8672D" w:rsidRDefault="004C012B" w:rsidP="001409A0">
      <w:pPr>
        <w:ind w:left="2410" w:right="140" w:firstLine="142"/>
        <w:jc w:val="both"/>
      </w:pPr>
      <w:r w:rsidRPr="001409A0">
        <w:rPr>
          <w:rFonts w:ascii="Arial Narrow" w:eastAsiaTheme="minorEastAsia" w:hAnsi="Arial Narrow" w:cstheme="majorHAnsi"/>
        </w:rPr>
        <w:t>Di</w:t>
      </w:r>
      <w:r w:rsidR="0069716C" w:rsidRPr="001409A0">
        <w:rPr>
          <w:rFonts w:ascii="Arial Narrow" w:eastAsiaTheme="minorEastAsia" w:hAnsi="Arial Narrow" w:cstheme="majorHAnsi"/>
        </w:rPr>
        <w:t>ce:</w:t>
      </w:r>
      <w:r w:rsidR="001409A0" w:rsidRPr="001409A0">
        <w:t xml:space="preserve">      </w:t>
      </w:r>
    </w:p>
    <w:p w14:paraId="77820A38" w14:textId="77777777" w:rsidR="00A8672D" w:rsidRDefault="00A8672D" w:rsidP="001409A0">
      <w:pPr>
        <w:ind w:left="2410" w:right="140" w:firstLine="142"/>
        <w:jc w:val="both"/>
      </w:pPr>
    </w:p>
    <w:tbl>
      <w:tblPr>
        <w:tblW w:w="3870" w:type="pct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2078"/>
        <w:gridCol w:w="492"/>
        <w:gridCol w:w="594"/>
        <w:gridCol w:w="638"/>
        <w:gridCol w:w="876"/>
        <w:gridCol w:w="1134"/>
      </w:tblGrid>
      <w:tr w:rsidR="000E623D" w:rsidRPr="00697D13" w14:paraId="3485AB5F" w14:textId="77777777" w:rsidTr="000E623D">
        <w:trPr>
          <w:trHeight w:val="236"/>
          <w:tblHeader/>
        </w:trPr>
        <w:tc>
          <w:tcPr>
            <w:tcW w:w="603" w:type="pct"/>
            <w:vMerge w:val="restart"/>
            <w:shd w:val="clear" w:color="000000" w:fill="203764"/>
            <w:vAlign w:val="center"/>
            <w:hideMark/>
          </w:tcPr>
          <w:p w14:paraId="52CEF756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RENGLÓN</w:t>
            </w:r>
          </w:p>
        </w:tc>
        <w:tc>
          <w:tcPr>
            <w:tcW w:w="862" w:type="pct"/>
            <w:vMerge w:val="restart"/>
            <w:shd w:val="clear" w:color="000000" w:fill="203764"/>
            <w:vAlign w:val="center"/>
            <w:hideMark/>
          </w:tcPr>
          <w:p w14:paraId="68F374C8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DESCRIPCIÓN</w:t>
            </w:r>
          </w:p>
        </w:tc>
        <w:tc>
          <w:tcPr>
            <w:tcW w:w="1264" w:type="pct"/>
            <w:vMerge w:val="restart"/>
            <w:shd w:val="clear" w:color="000000" w:fill="203764"/>
            <w:vAlign w:val="center"/>
            <w:hideMark/>
          </w:tcPr>
          <w:p w14:paraId="5ED414FD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DESCRIPCIÓN TÉCNICA</w:t>
            </w:r>
          </w:p>
        </w:tc>
        <w:tc>
          <w:tcPr>
            <w:tcW w:w="299" w:type="pct"/>
            <w:vMerge w:val="restart"/>
            <w:shd w:val="clear" w:color="000000" w:fill="203764"/>
            <w:vAlign w:val="center"/>
            <w:hideMark/>
          </w:tcPr>
          <w:p w14:paraId="0936232D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CANT.</w:t>
            </w:r>
          </w:p>
        </w:tc>
        <w:tc>
          <w:tcPr>
            <w:tcW w:w="361" w:type="pct"/>
            <w:vMerge w:val="restart"/>
            <w:shd w:val="clear" w:color="000000" w:fill="203764"/>
            <w:vAlign w:val="center"/>
            <w:hideMark/>
          </w:tcPr>
          <w:p w14:paraId="7CF03316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 xml:space="preserve">UNIDAD DE MEDIDA </w:t>
            </w:r>
          </w:p>
        </w:tc>
        <w:tc>
          <w:tcPr>
            <w:tcW w:w="388" w:type="pct"/>
            <w:vMerge w:val="restart"/>
            <w:shd w:val="clear" w:color="000000" w:fill="203764"/>
            <w:vAlign w:val="center"/>
          </w:tcPr>
          <w:p w14:paraId="25E4C69C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 xml:space="preserve">MARCA </w:t>
            </w:r>
          </w:p>
        </w:tc>
        <w:tc>
          <w:tcPr>
            <w:tcW w:w="1223" w:type="pct"/>
            <w:gridSpan w:val="2"/>
            <w:shd w:val="clear" w:color="000000" w:fill="203764"/>
            <w:vAlign w:val="center"/>
            <w:hideMark/>
          </w:tcPr>
          <w:p w14:paraId="54A40CA3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GRUPO FAYX, S.A. DE C.V.</w:t>
            </w:r>
          </w:p>
        </w:tc>
      </w:tr>
      <w:tr w:rsidR="000E623D" w:rsidRPr="00697D13" w14:paraId="6AFD2E30" w14:textId="77777777" w:rsidTr="000E623D">
        <w:trPr>
          <w:trHeight w:val="47"/>
          <w:tblHeader/>
        </w:trPr>
        <w:tc>
          <w:tcPr>
            <w:tcW w:w="603" w:type="pct"/>
            <w:vMerge/>
            <w:vAlign w:val="center"/>
            <w:hideMark/>
          </w:tcPr>
          <w:p w14:paraId="070C3368" w14:textId="77777777" w:rsidR="00A8672D" w:rsidRPr="00A8672D" w:rsidRDefault="00A8672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14:paraId="7A1CD2BA" w14:textId="77777777" w:rsidR="00A8672D" w:rsidRPr="00A8672D" w:rsidRDefault="00A8672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264" w:type="pct"/>
            <w:vMerge/>
            <w:vAlign w:val="center"/>
            <w:hideMark/>
          </w:tcPr>
          <w:p w14:paraId="3ECD2162" w14:textId="77777777" w:rsidR="00A8672D" w:rsidRPr="00A8672D" w:rsidRDefault="00A8672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14:paraId="5E867129" w14:textId="77777777" w:rsidR="00A8672D" w:rsidRPr="00A8672D" w:rsidRDefault="00A8672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66B01373" w14:textId="77777777" w:rsidR="00A8672D" w:rsidRPr="00A8672D" w:rsidRDefault="00A8672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88" w:type="pct"/>
            <w:vMerge/>
            <w:shd w:val="clear" w:color="000000" w:fill="203764"/>
          </w:tcPr>
          <w:p w14:paraId="0BE70FA7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203764"/>
            <w:vAlign w:val="center"/>
            <w:hideMark/>
          </w:tcPr>
          <w:p w14:paraId="3A502A39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P.U. (M.N.)</w:t>
            </w:r>
          </w:p>
        </w:tc>
        <w:tc>
          <w:tcPr>
            <w:tcW w:w="690" w:type="pct"/>
            <w:shd w:val="clear" w:color="000000" w:fill="203764"/>
            <w:vAlign w:val="center"/>
            <w:hideMark/>
          </w:tcPr>
          <w:p w14:paraId="30709B29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IMPORTE (M.N.)</w:t>
            </w:r>
          </w:p>
        </w:tc>
      </w:tr>
      <w:tr w:rsidR="000E623D" w:rsidRPr="00697D13" w14:paraId="3F4DEDFC" w14:textId="77777777" w:rsidTr="000E623D">
        <w:trPr>
          <w:trHeight w:val="399"/>
        </w:trPr>
        <w:tc>
          <w:tcPr>
            <w:tcW w:w="60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CD6B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3D97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sz w:val="14"/>
                <w:szCs w:val="14"/>
              </w:rPr>
              <w:t>SILLA DE RUEDAS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47519AC7" w14:textId="77777777" w:rsidR="00A8672D" w:rsidRPr="00A8672D" w:rsidRDefault="00A8672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1.- Sistema de freno ajustable de lámina de acero calibre 10, 5/8 de pulgada de ancho con tope y mecanismo excéntrico con palanca y maneral de hule natural macizo color negro; la parte inferior trasera del marco deberá incluir un tope de hule natural macizo de color negro; el acabado de toda la estructura deberá ser esmaltada.</w:t>
            </w:r>
          </w:p>
          <w:p w14:paraId="20ABA4BA" w14:textId="77777777" w:rsidR="00A8672D" w:rsidRPr="00A8672D" w:rsidRDefault="00A8672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br/>
              <w:t xml:space="preserve">2.- Asiento y respaldo de </w:t>
            </w:r>
            <w:r w:rsidRPr="00A8672D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u w:val="single"/>
              </w:rPr>
              <w:t xml:space="preserve">vinyl </w:t>
            </w: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ignífugo con esponja, transpirable de fácil limpieza y una práctica bolsa-objetos integrada en su respaldo, que facilita transportar y almacenar cosas pequeñas.</w:t>
            </w:r>
          </w:p>
          <w:p w14:paraId="73DB44A4" w14:textId="77777777" w:rsidR="00A8672D" w:rsidRPr="00A8672D" w:rsidRDefault="00A8672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  <w:p w14:paraId="3DE535F3" w14:textId="77777777" w:rsidR="00A8672D" w:rsidRPr="00A8672D" w:rsidRDefault="00A8672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3.- Descansabrazos fijo de longitud completa acojinamiento de pvc.</w:t>
            </w:r>
          </w:p>
          <w:p w14:paraId="1D53742F" w14:textId="77777777" w:rsidR="00A8672D" w:rsidRPr="00A8672D" w:rsidRDefault="00A8672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  <w:p w14:paraId="259CFECD" w14:textId="77777777" w:rsidR="00A8672D" w:rsidRPr="00A8672D" w:rsidRDefault="00A8672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4.- Soportes descansapies desmontables y abatibles con taloneras. Ensamblado de forma telescópica.</w:t>
            </w:r>
          </w:p>
          <w:p w14:paraId="12E7BC24" w14:textId="77777777" w:rsidR="00A8672D" w:rsidRPr="00A8672D" w:rsidRDefault="00A8672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br/>
              <w:t>5.- Manubrios abatibles.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29775C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ECCC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078D28ED" w14:textId="77777777" w:rsidR="00A8672D" w:rsidRPr="00A8672D" w:rsidRDefault="00A8672D" w:rsidP="00846EA3">
            <w:pPr>
              <w:widowControl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REACTIV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C544" w14:textId="77777777" w:rsidR="00A8672D" w:rsidRPr="00A8672D" w:rsidRDefault="00A8672D" w:rsidP="00846EA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proofErr w:type="gramStart"/>
            <w:r w:rsidRPr="00A8672D">
              <w:rPr>
                <w:rFonts w:ascii="Arial Narrow" w:hAnsi="Arial Narrow" w:cs="Calibri"/>
                <w:sz w:val="14"/>
                <w:szCs w:val="14"/>
              </w:rPr>
              <w:t>$  3,452.00</w:t>
            </w:r>
            <w:proofErr w:type="gramEnd"/>
            <w:r w:rsidRPr="00A8672D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23F" w14:textId="77777777" w:rsidR="00A8672D" w:rsidRPr="00A8672D" w:rsidRDefault="00A8672D" w:rsidP="00846EA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sz w:val="14"/>
                <w:szCs w:val="14"/>
              </w:rPr>
              <w:t xml:space="preserve">$   172,600.00 </w:t>
            </w:r>
          </w:p>
        </w:tc>
      </w:tr>
      <w:tr w:rsidR="00A8672D" w:rsidRPr="00697D13" w14:paraId="3EB560B6" w14:textId="77777777" w:rsidTr="000E623D">
        <w:trPr>
          <w:trHeight w:val="180"/>
        </w:trPr>
        <w:tc>
          <w:tcPr>
            <w:tcW w:w="60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FA0E2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CAC2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20FC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3957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979F" w14:textId="77777777" w:rsidR="00A8672D" w:rsidRPr="00697D13" w:rsidRDefault="00A8672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</w:rPr>
            </w:pPr>
            <w:r w:rsidRPr="00697D13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000000" w:fill="FFFFFF"/>
          </w:tcPr>
          <w:p w14:paraId="489D8082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7DB95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  <w:b/>
                <w:bCs/>
              </w:rPr>
            </w:pPr>
            <w:r w:rsidRPr="00697D13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D39A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  <w:b/>
                <w:bCs/>
              </w:rPr>
            </w:pPr>
            <w:r w:rsidRPr="00697D13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0E623D" w:rsidRPr="00697D13" w14:paraId="7FCA3468" w14:textId="77777777" w:rsidTr="000E623D">
        <w:trPr>
          <w:trHeight w:val="47"/>
        </w:trPr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EE92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49AE" w14:textId="77777777" w:rsidR="00A8672D" w:rsidRPr="00697D13" w:rsidRDefault="00A8672D" w:rsidP="00846EA3">
            <w:pPr>
              <w:widowControl/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36E9B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6F458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B1C" w14:textId="77777777" w:rsidR="00A8672D" w:rsidRPr="00697D13" w:rsidRDefault="00A8672D" w:rsidP="00846EA3">
            <w:pPr>
              <w:widowControl/>
              <w:rPr>
                <w:rFonts w:ascii="Arial Narrow" w:hAnsi="Arial Narrow" w:cs="Calibri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93487" w14:textId="77777777" w:rsidR="00A8672D" w:rsidRPr="00697D13" w:rsidRDefault="00A8672D" w:rsidP="00846EA3">
            <w:pPr>
              <w:widowControl/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F356" w14:textId="77777777" w:rsidR="00A8672D" w:rsidRPr="00697D13" w:rsidRDefault="00A8672D" w:rsidP="00846EA3">
            <w:pPr>
              <w:widowControl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0741159" w14:textId="77777777" w:rsidR="00A8672D" w:rsidRPr="002C5AD4" w:rsidRDefault="00A8672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2C5AD4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$   172,600.00 </w:t>
            </w:r>
          </w:p>
        </w:tc>
      </w:tr>
      <w:tr w:rsidR="000E623D" w:rsidRPr="00697D13" w14:paraId="5D853682" w14:textId="77777777" w:rsidTr="000E623D">
        <w:trPr>
          <w:trHeight w:val="47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904" w14:textId="77777777" w:rsidR="00A8672D" w:rsidRPr="00697D13" w:rsidRDefault="00A8672D" w:rsidP="00846EA3">
            <w:pPr>
              <w:widowControl/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3771" w14:textId="77777777" w:rsidR="00A8672D" w:rsidRPr="00697D13" w:rsidRDefault="00A8672D" w:rsidP="00846EA3">
            <w:pPr>
              <w:widowControl/>
              <w:jc w:val="center"/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B3D" w14:textId="77777777" w:rsidR="00A8672D" w:rsidRPr="00697D13" w:rsidRDefault="00A8672D" w:rsidP="00846EA3">
            <w:pPr>
              <w:widowControl/>
              <w:jc w:val="center"/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1E0B" w14:textId="77777777" w:rsidR="00A8672D" w:rsidRPr="00697D13" w:rsidRDefault="00A8672D" w:rsidP="00846EA3">
            <w:pPr>
              <w:widowControl/>
              <w:jc w:val="center"/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98DC" w14:textId="77777777" w:rsidR="00A8672D" w:rsidRPr="00697D13" w:rsidRDefault="00A8672D" w:rsidP="00846EA3">
            <w:pPr>
              <w:widowControl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7ACF1C57" w14:textId="77777777" w:rsidR="00A8672D" w:rsidRPr="00697D13" w:rsidRDefault="00A8672D" w:rsidP="00846EA3">
            <w:pPr>
              <w:widowControl/>
              <w:jc w:val="center"/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2F70" w14:textId="77777777" w:rsidR="00A8672D" w:rsidRPr="00697D13" w:rsidRDefault="00A8672D" w:rsidP="00846EA3">
            <w:pPr>
              <w:widowControl/>
              <w:jc w:val="center"/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84BC304" w14:textId="77777777" w:rsidR="00A8672D" w:rsidRPr="002C5AD4" w:rsidRDefault="00A8672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2C5AD4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$     27,616.00 </w:t>
            </w:r>
          </w:p>
        </w:tc>
      </w:tr>
      <w:tr w:rsidR="000E623D" w:rsidRPr="00697D13" w14:paraId="1E1E45CA" w14:textId="77777777" w:rsidTr="000E623D">
        <w:trPr>
          <w:trHeight w:val="47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30F" w14:textId="77777777" w:rsidR="00A8672D" w:rsidRPr="00697D13" w:rsidRDefault="00A8672D" w:rsidP="00846EA3">
            <w:pPr>
              <w:widowControl/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0DA0" w14:textId="77777777" w:rsidR="00A8672D" w:rsidRPr="00697D13" w:rsidRDefault="00A8672D" w:rsidP="00846EA3">
            <w:pPr>
              <w:widowControl/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189" w14:textId="77777777" w:rsidR="00A8672D" w:rsidRPr="00697D13" w:rsidRDefault="00A8672D" w:rsidP="00846EA3">
            <w:pPr>
              <w:widowControl/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984" w14:textId="77777777" w:rsidR="00A8672D" w:rsidRPr="00697D13" w:rsidRDefault="00A8672D" w:rsidP="00846EA3">
            <w:pPr>
              <w:widowControl/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124" w14:textId="77777777" w:rsidR="00A8672D" w:rsidRPr="00697D13" w:rsidRDefault="00A8672D" w:rsidP="00846EA3">
            <w:pPr>
              <w:widowControl/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09C510CC" w14:textId="77777777" w:rsidR="00A8672D" w:rsidRPr="00697D13" w:rsidRDefault="00A8672D" w:rsidP="00846EA3">
            <w:pPr>
              <w:widowControl/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16DB" w14:textId="77777777" w:rsidR="00A8672D" w:rsidRPr="00697D13" w:rsidRDefault="00A8672D" w:rsidP="00846EA3">
            <w:pPr>
              <w:widowControl/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ED3CAF6" w14:textId="77777777" w:rsidR="00A8672D" w:rsidRPr="002C5AD4" w:rsidRDefault="00A8672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2C5AD4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$   200,216.00 </w:t>
            </w:r>
          </w:p>
        </w:tc>
      </w:tr>
    </w:tbl>
    <w:p w14:paraId="5D1C5D67" w14:textId="34C77169" w:rsidR="001409A0" w:rsidRPr="00A8672D" w:rsidRDefault="001409A0" w:rsidP="00A8672D">
      <w:pPr>
        <w:ind w:right="140"/>
        <w:jc w:val="both"/>
      </w:pPr>
    </w:p>
    <w:p w14:paraId="6D2C0CB4" w14:textId="21DBA92F" w:rsidR="001150F1" w:rsidRDefault="00315CF3" w:rsidP="001409A0">
      <w:pPr>
        <w:ind w:left="2552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>Debe dec</w:t>
      </w:r>
      <w:r w:rsidR="0069716C" w:rsidRPr="001409A0">
        <w:rPr>
          <w:rFonts w:ascii="Arial Narrow" w:eastAsiaTheme="minorEastAsia" w:hAnsi="Arial Narrow" w:cstheme="majorHAnsi"/>
        </w:rPr>
        <w:t xml:space="preserve">ir: </w:t>
      </w:r>
      <w:r w:rsidR="001409A0" w:rsidRPr="001409A0">
        <w:rPr>
          <w:rFonts w:ascii="Arial Narrow" w:eastAsiaTheme="minorEastAsia" w:hAnsi="Arial Narrow" w:cstheme="majorHAnsi"/>
        </w:rPr>
        <w:t xml:space="preserve">  </w:t>
      </w:r>
    </w:p>
    <w:p w14:paraId="02F6426D" w14:textId="3C5EF49D" w:rsidR="000E623D" w:rsidRDefault="000E623D" w:rsidP="001409A0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tbl>
      <w:tblPr>
        <w:tblW w:w="3800" w:type="pct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2079"/>
        <w:gridCol w:w="491"/>
        <w:gridCol w:w="593"/>
        <w:gridCol w:w="638"/>
        <w:gridCol w:w="777"/>
        <w:gridCol w:w="1085"/>
      </w:tblGrid>
      <w:tr w:rsidR="000E623D" w:rsidRPr="00697D13" w14:paraId="387E54AB" w14:textId="77777777" w:rsidTr="00846EA3">
        <w:trPr>
          <w:trHeight w:val="236"/>
          <w:tblHeader/>
        </w:trPr>
        <w:tc>
          <w:tcPr>
            <w:tcW w:w="614" w:type="pct"/>
            <w:vMerge w:val="restart"/>
            <w:shd w:val="clear" w:color="000000" w:fill="203764"/>
            <w:vAlign w:val="center"/>
            <w:hideMark/>
          </w:tcPr>
          <w:p w14:paraId="68CA3FE5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RENGLÓN</w:t>
            </w:r>
          </w:p>
        </w:tc>
        <w:tc>
          <w:tcPr>
            <w:tcW w:w="878" w:type="pct"/>
            <w:vMerge w:val="restart"/>
            <w:shd w:val="clear" w:color="000000" w:fill="203764"/>
            <w:vAlign w:val="center"/>
            <w:hideMark/>
          </w:tcPr>
          <w:p w14:paraId="32022423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DESCRIPCIÓN</w:t>
            </w:r>
          </w:p>
        </w:tc>
        <w:tc>
          <w:tcPr>
            <w:tcW w:w="1288" w:type="pct"/>
            <w:vMerge w:val="restart"/>
            <w:shd w:val="clear" w:color="000000" w:fill="203764"/>
            <w:vAlign w:val="center"/>
            <w:hideMark/>
          </w:tcPr>
          <w:p w14:paraId="1731146E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DESCRIPCIÓN TÉCNICA</w:t>
            </w:r>
          </w:p>
        </w:tc>
        <w:tc>
          <w:tcPr>
            <w:tcW w:w="304" w:type="pct"/>
            <w:vMerge w:val="restart"/>
            <w:shd w:val="clear" w:color="000000" w:fill="203764"/>
            <w:vAlign w:val="center"/>
            <w:hideMark/>
          </w:tcPr>
          <w:p w14:paraId="50E97EE6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CANT.</w:t>
            </w:r>
          </w:p>
        </w:tc>
        <w:tc>
          <w:tcPr>
            <w:tcW w:w="367" w:type="pct"/>
            <w:vMerge w:val="restart"/>
            <w:shd w:val="clear" w:color="000000" w:fill="203764"/>
            <w:vAlign w:val="center"/>
            <w:hideMark/>
          </w:tcPr>
          <w:p w14:paraId="28B62D93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 xml:space="preserve">UNIDAD DE MEDIDA </w:t>
            </w:r>
          </w:p>
        </w:tc>
        <w:tc>
          <w:tcPr>
            <w:tcW w:w="395" w:type="pct"/>
            <w:vMerge w:val="restart"/>
            <w:shd w:val="clear" w:color="000000" w:fill="203764"/>
            <w:vAlign w:val="center"/>
          </w:tcPr>
          <w:p w14:paraId="6FFF2915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 xml:space="preserve">MARCA </w:t>
            </w:r>
          </w:p>
        </w:tc>
        <w:tc>
          <w:tcPr>
            <w:tcW w:w="1153" w:type="pct"/>
            <w:gridSpan w:val="2"/>
            <w:shd w:val="clear" w:color="000000" w:fill="203764"/>
            <w:vAlign w:val="center"/>
            <w:hideMark/>
          </w:tcPr>
          <w:p w14:paraId="2AD7EBD0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GRUPO FAYX, S.A. DE C.V.</w:t>
            </w:r>
          </w:p>
        </w:tc>
      </w:tr>
      <w:tr w:rsidR="000E623D" w:rsidRPr="00697D13" w14:paraId="70E4B6D5" w14:textId="77777777" w:rsidTr="00846EA3">
        <w:trPr>
          <w:trHeight w:val="47"/>
          <w:tblHeader/>
        </w:trPr>
        <w:tc>
          <w:tcPr>
            <w:tcW w:w="614" w:type="pct"/>
            <w:vMerge/>
            <w:vAlign w:val="center"/>
            <w:hideMark/>
          </w:tcPr>
          <w:p w14:paraId="6182F03F" w14:textId="77777777" w:rsidR="000E623D" w:rsidRPr="00A8672D" w:rsidRDefault="000E623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14:paraId="77478FB4" w14:textId="77777777" w:rsidR="000E623D" w:rsidRPr="00A8672D" w:rsidRDefault="000E623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288" w:type="pct"/>
            <w:vMerge/>
            <w:vAlign w:val="center"/>
            <w:hideMark/>
          </w:tcPr>
          <w:p w14:paraId="0F60DF09" w14:textId="77777777" w:rsidR="000E623D" w:rsidRPr="00A8672D" w:rsidRDefault="000E623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2590C74" w14:textId="77777777" w:rsidR="000E623D" w:rsidRPr="00A8672D" w:rsidRDefault="000E623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7D3F69BF" w14:textId="77777777" w:rsidR="000E623D" w:rsidRPr="00A8672D" w:rsidRDefault="000E623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95" w:type="pct"/>
            <w:vMerge/>
            <w:shd w:val="clear" w:color="000000" w:fill="203764"/>
          </w:tcPr>
          <w:p w14:paraId="04C8B9A7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shd w:val="clear" w:color="000000" w:fill="203764"/>
            <w:vAlign w:val="center"/>
            <w:hideMark/>
          </w:tcPr>
          <w:p w14:paraId="2386F97C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P.U. (M.N.)</w:t>
            </w:r>
          </w:p>
        </w:tc>
        <w:tc>
          <w:tcPr>
            <w:tcW w:w="672" w:type="pct"/>
            <w:shd w:val="clear" w:color="000000" w:fill="203764"/>
            <w:vAlign w:val="center"/>
            <w:hideMark/>
          </w:tcPr>
          <w:p w14:paraId="0C1DDE45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>IMPORTE (M.N.)</w:t>
            </w:r>
          </w:p>
        </w:tc>
      </w:tr>
      <w:tr w:rsidR="000E623D" w:rsidRPr="00697D13" w14:paraId="2B4F8FB8" w14:textId="77777777" w:rsidTr="00846EA3">
        <w:trPr>
          <w:trHeight w:val="399"/>
        </w:trPr>
        <w:tc>
          <w:tcPr>
            <w:tcW w:w="61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0B4F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87F9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sz w:val="14"/>
                <w:szCs w:val="14"/>
              </w:rPr>
              <w:t>SILLA DE RUEDAS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50325717" w14:textId="77777777" w:rsidR="000E623D" w:rsidRPr="00A8672D" w:rsidRDefault="000E623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1.- Sistema de freno ajustable de lámina de acero calibre 10, 5/8 de pulgada de ancho con tope y mecanismo excéntrico con palanca y maneral de hule natural macizo color negro; la parte inferior trasera del marco deberá incluir un tope de hule natural macizo de color negro; el acabado de toda la estructura deberá ser esmaltada.</w:t>
            </w:r>
          </w:p>
          <w:p w14:paraId="3643DC1B" w14:textId="5FBDD35D" w:rsidR="000E623D" w:rsidRPr="00A8672D" w:rsidRDefault="000E623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br/>
              <w:t xml:space="preserve">2.- Asiento y respaldo de </w:t>
            </w:r>
            <w:r w:rsidRPr="000E623D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u w:val="single"/>
              </w:rPr>
              <w:t>nylon</w:t>
            </w:r>
            <w:r w:rsidRPr="00A8672D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  <w:u w:val="single"/>
              </w:rPr>
              <w:t xml:space="preserve"> </w:t>
            </w: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ignífugo con esponja, transpirable de </w:t>
            </w: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lastRenderedPageBreak/>
              <w:t>fácil limpieza y una práctica bolsa-objetos integrada en su respaldo, que facilita transportar y almacenar cosas pequeñas.</w:t>
            </w:r>
          </w:p>
          <w:p w14:paraId="645FCDF9" w14:textId="77777777" w:rsidR="000E623D" w:rsidRPr="00A8672D" w:rsidRDefault="000E623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  <w:p w14:paraId="4A6DC550" w14:textId="77777777" w:rsidR="000E623D" w:rsidRPr="00A8672D" w:rsidRDefault="000E623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3.- Descansabrazos fijo de longitud completa acojinamiento de pvc.</w:t>
            </w:r>
          </w:p>
          <w:p w14:paraId="70377191" w14:textId="77777777" w:rsidR="000E623D" w:rsidRPr="00A8672D" w:rsidRDefault="000E623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  <w:p w14:paraId="1A0CA9E9" w14:textId="77777777" w:rsidR="000E623D" w:rsidRPr="00A8672D" w:rsidRDefault="000E623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4.- Soportes descansapies desmontables y abatibles con taloneras. Ensamblado de forma telescópica.</w:t>
            </w:r>
          </w:p>
          <w:p w14:paraId="72DF0836" w14:textId="77777777" w:rsidR="000E623D" w:rsidRPr="00A8672D" w:rsidRDefault="000E623D" w:rsidP="00846EA3">
            <w:pPr>
              <w:widowControl/>
              <w:jc w:val="both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br/>
              <w:t>5.- Manubrios abatibles.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14B0523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103ED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35D090D0" w14:textId="77777777" w:rsidR="000E623D" w:rsidRPr="00A8672D" w:rsidRDefault="000E623D" w:rsidP="00846EA3">
            <w:pPr>
              <w:widowControl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color w:val="000000"/>
                <w:sz w:val="14"/>
                <w:szCs w:val="14"/>
              </w:rPr>
              <w:t>REACTIV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3CC1" w14:textId="77777777" w:rsidR="000E623D" w:rsidRPr="00A8672D" w:rsidRDefault="000E623D" w:rsidP="00846EA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proofErr w:type="gramStart"/>
            <w:r w:rsidRPr="00A8672D">
              <w:rPr>
                <w:rFonts w:ascii="Arial Narrow" w:hAnsi="Arial Narrow" w:cs="Calibri"/>
                <w:sz w:val="14"/>
                <w:szCs w:val="14"/>
              </w:rPr>
              <w:t>$  3,452.00</w:t>
            </w:r>
            <w:proofErr w:type="gramEnd"/>
            <w:r w:rsidRPr="00A8672D">
              <w:rPr>
                <w:rFonts w:ascii="Arial Narrow" w:hAnsi="Arial Narrow" w:cs="Calibri"/>
                <w:sz w:val="14"/>
                <w:szCs w:val="14"/>
              </w:rPr>
              <w:t xml:space="preserve"> 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CA4" w14:textId="77777777" w:rsidR="000E623D" w:rsidRPr="00A8672D" w:rsidRDefault="000E623D" w:rsidP="00846EA3">
            <w:pPr>
              <w:widowControl/>
              <w:rPr>
                <w:rFonts w:ascii="Arial Narrow" w:hAnsi="Arial Narrow" w:cs="Calibri"/>
                <w:sz w:val="14"/>
                <w:szCs w:val="14"/>
              </w:rPr>
            </w:pPr>
            <w:r w:rsidRPr="00A8672D">
              <w:rPr>
                <w:rFonts w:ascii="Arial Narrow" w:hAnsi="Arial Narrow" w:cs="Calibri"/>
                <w:sz w:val="14"/>
                <w:szCs w:val="14"/>
              </w:rPr>
              <w:t xml:space="preserve">$   172,600.00 </w:t>
            </w:r>
          </w:p>
        </w:tc>
      </w:tr>
      <w:tr w:rsidR="000E623D" w:rsidRPr="00697D13" w14:paraId="3FF5AC7E" w14:textId="77777777" w:rsidTr="00846EA3">
        <w:trPr>
          <w:trHeight w:val="180"/>
        </w:trPr>
        <w:tc>
          <w:tcPr>
            <w:tcW w:w="61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4BE7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B063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AD25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1C7E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BC27" w14:textId="77777777" w:rsidR="000E623D" w:rsidRPr="00697D13" w:rsidRDefault="000E623D" w:rsidP="00846EA3">
            <w:pPr>
              <w:widowControl/>
              <w:jc w:val="center"/>
              <w:rPr>
                <w:rFonts w:ascii="Arial Narrow" w:hAnsi="Arial Narrow" w:cs="Calibri"/>
                <w:b/>
                <w:bCs/>
              </w:rPr>
            </w:pPr>
            <w:r w:rsidRPr="00697D13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000000" w:fill="FFFFFF"/>
          </w:tcPr>
          <w:p w14:paraId="000B0EB8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678F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  <w:b/>
                <w:bCs/>
              </w:rPr>
            </w:pPr>
            <w:r w:rsidRPr="00697D13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B411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  <w:b/>
                <w:bCs/>
              </w:rPr>
            </w:pPr>
            <w:r w:rsidRPr="00697D13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0E623D" w:rsidRPr="00697D13" w14:paraId="2C3E0F36" w14:textId="77777777" w:rsidTr="00846EA3">
        <w:trPr>
          <w:trHeight w:val="47"/>
        </w:trPr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4014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2519" w14:textId="77777777" w:rsidR="000E623D" w:rsidRPr="00697D13" w:rsidRDefault="000E623D" w:rsidP="00846EA3">
            <w:pPr>
              <w:widowControl/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5DDCA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6095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</w:rPr>
            </w:pPr>
            <w:r w:rsidRPr="00697D13">
              <w:rPr>
                <w:rFonts w:ascii="Arial Narrow" w:hAnsi="Arial Narrow" w:cs="Calibri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191" w14:textId="77777777" w:rsidR="000E623D" w:rsidRPr="00697D13" w:rsidRDefault="000E623D" w:rsidP="00846EA3">
            <w:pPr>
              <w:widowControl/>
              <w:rPr>
                <w:rFonts w:ascii="Arial Narrow" w:hAnsi="Arial Narrow" w:cs="Calibri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B45C7" w14:textId="77777777" w:rsidR="000E623D" w:rsidRPr="00697D13" w:rsidRDefault="000E623D" w:rsidP="00846EA3">
            <w:pPr>
              <w:widowControl/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81C" w14:textId="77777777" w:rsidR="000E623D" w:rsidRPr="00697D13" w:rsidRDefault="000E623D" w:rsidP="00846EA3">
            <w:pPr>
              <w:widowControl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27F6477" w14:textId="77777777" w:rsidR="000E623D" w:rsidRPr="002C5AD4" w:rsidRDefault="000E623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2C5AD4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$   172,600.00 </w:t>
            </w:r>
          </w:p>
        </w:tc>
      </w:tr>
      <w:tr w:rsidR="000E623D" w:rsidRPr="00697D13" w14:paraId="3C95E97B" w14:textId="77777777" w:rsidTr="00846EA3">
        <w:trPr>
          <w:trHeight w:val="47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642" w14:textId="77777777" w:rsidR="000E623D" w:rsidRPr="00697D13" w:rsidRDefault="000E623D" w:rsidP="00846EA3">
            <w:pPr>
              <w:widowControl/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24B" w14:textId="77777777" w:rsidR="000E623D" w:rsidRPr="00697D13" w:rsidRDefault="000E623D" w:rsidP="00846EA3">
            <w:pPr>
              <w:widowControl/>
              <w:jc w:val="center"/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1BCD" w14:textId="77777777" w:rsidR="000E623D" w:rsidRPr="00697D13" w:rsidRDefault="000E623D" w:rsidP="00846EA3">
            <w:pPr>
              <w:widowControl/>
              <w:jc w:val="center"/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82B" w14:textId="77777777" w:rsidR="000E623D" w:rsidRPr="00697D13" w:rsidRDefault="000E623D" w:rsidP="00846EA3">
            <w:pPr>
              <w:widowControl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B83" w14:textId="77777777" w:rsidR="000E623D" w:rsidRPr="00697D13" w:rsidRDefault="000E623D" w:rsidP="00846EA3">
            <w:pPr>
              <w:widowControl/>
              <w:jc w:val="center"/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3DB8E07" w14:textId="77777777" w:rsidR="000E623D" w:rsidRPr="00697D13" w:rsidRDefault="000E623D" w:rsidP="00846EA3">
            <w:pPr>
              <w:widowControl/>
              <w:jc w:val="center"/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96E" w14:textId="77777777" w:rsidR="000E623D" w:rsidRPr="00697D13" w:rsidRDefault="000E623D" w:rsidP="00846EA3">
            <w:pPr>
              <w:widowControl/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DAD4DFE" w14:textId="77777777" w:rsidR="000E623D" w:rsidRPr="002C5AD4" w:rsidRDefault="000E623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2C5AD4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$     27,616.00 </w:t>
            </w:r>
          </w:p>
        </w:tc>
      </w:tr>
      <w:tr w:rsidR="000E623D" w:rsidRPr="00697D13" w14:paraId="3721563F" w14:textId="77777777" w:rsidTr="00846EA3">
        <w:trPr>
          <w:trHeight w:val="47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F636" w14:textId="77777777" w:rsidR="000E623D" w:rsidRPr="00697D13" w:rsidRDefault="000E623D" w:rsidP="00846EA3">
            <w:pPr>
              <w:widowControl/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705A" w14:textId="77777777" w:rsidR="000E623D" w:rsidRPr="00697D13" w:rsidRDefault="000E623D" w:rsidP="00846EA3">
            <w:pPr>
              <w:widowControl/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467" w14:textId="77777777" w:rsidR="000E623D" w:rsidRPr="00697D13" w:rsidRDefault="000E623D" w:rsidP="00846EA3">
            <w:pPr>
              <w:widowControl/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E6BD" w14:textId="77777777" w:rsidR="000E623D" w:rsidRPr="00697D13" w:rsidRDefault="000E623D" w:rsidP="00846EA3">
            <w:pPr>
              <w:widowControl/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9E6" w14:textId="77777777" w:rsidR="000E623D" w:rsidRPr="00697D13" w:rsidRDefault="000E623D" w:rsidP="00846EA3">
            <w:pPr>
              <w:widowControl/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6F29335" w14:textId="77777777" w:rsidR="000E623D" w:rsidRPr="00697D13" w:rsidRDefault="000E623D" w:rsidP="00846EA3">
            <w:pPr>
              <w:widowControl/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2C40" w14:textId="77777777" w:rsidR="000E623D" w:rsidRPr="00697D13" w:rsidRDefault="000E623D" w:rsidP="00846EA3">
            <w:pPr>
              <w:widowControl/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EDC5E7B" w14:textId="77777777" w:rsidR="000E623D" w:rsidRPr="002C5AD4" w:rsidRDefault="000E623D" w:rsidP="00846EA3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2C5AD4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$   200,216.00 </w:t>
            </w:r>
          </w:p>
        </w:tc>
      </w:tr>
    </w:tbl>
    <w:p w14:paraId="21DAFA8A" w14:textId="77777777" w:rsidR="000E623D" w:rsidRDefault="000E623D" w:rsidP="000E623D">
      <w:pPr>
        <w:ind w:right="140"/>
        <w:jc w:val="both"/>
        <w:rPr>
          <w:rFonts w:ascii="Arial Narrow" w:eastAsiaTheme="minorEastAsia" w:hAnsi="Arial Narrow" w:cstheme="majorHAnsi"/>
        </w:rPr>
      </w:pPr>
    </w:p>
    <w:p w14:paraId="16DA07F0" w14:textId="77777777" w:rsidR="001150F1" w:rsidRDefault="001150F1" w:rsidP="001409A0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p w14:paraId="2EE64F02" w14:textId="55F77670" w:rsidR="001161D0" w:rsidRDefault="001409A0" w:rsidP="000E623D">
      <w:pPr>
        <w:ind w:left="2552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             </w:t>
      </w:r>
    </w:p>
    <w:p w14:paraId="0007F3F4" w14:textId="77777777" w:rsidR="001161D0" w:rsidRDefault="001161D0" w:rsidP="000E623D">
      <w:pPr>
        <w:ind w:right="140"/>
        <w:jc w:val="both"/>
        <w:rPr>
          <w:rFonts w:ascii="Arial Narrow" w:eastAsiaTheme="minorEastAsia" w:hAnsi="Arial Narrow" w:cstheme="majorHAnsi"/>
        </w:rPr>
      </w:pPr>
    </w:p>
    <w:p w14:paraId="546F16FD" w14:textId="77777777" w:rsidR="002F6400" w:rsidRPr="00F92F8A" w:rsidRDefault="002F6400" w:rsidP="00F92F8A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p w14:paraId="09C53508" w14:textId="686DE55F" w:rsidR="00DE665F" w:rsidRPr="001409A0" w:rsidRDefault="00DE665F" w:rsidP="002F6400">
      <w:pPr>
        <w:widowControl/>
        <w:ind w:right="-284"/>
        <w:jc w:val="both"/>
        <w:rPr>
          <w:rFonts w:ascii="Arial Narrow" w:hAnsi="Arial Narrow"/>
        </w:rPr>
      </w:pPr>
      <w:r w:rsidRPr="001409A0">
        <w:rPr>
          <w:rFonts w:ascii="Arial Narrow" w:hAnsi="Arial Narrow"/>
        </w:rPr>
        <w:t>Se da por terminada la presente Fe de Erratas el mismo</w:t>
      </w:r>
      <w:r w:rsidR="008C6A61" w:rsidRPr="001409A0">
        <w:rPr>
          <w:rFonts w:ascii="Arial Narrow" w:hAnsi="Arial Narrow"/>
        </w:rPr>
        <w:t xml:space="preserve"> día</w:t>
      </w:r>
      <w:r w:rsidRPr="001409A0">
        <w:rPr>
          <w:rFonts w:ascii="Arial Narrow" w:hAnsi="Arial Narrow"/>
        </w:rPr>
        <w:t xml:space="preserve"> que </w:t>
      </w:r>
      <w:r w:rsidR="007F26B7" w:rsidRPr="001409A0">
        <w:rPr>
          <w:rFonts w:ascii="Arial Narrow" w:hAnsi="Arial Narrow"/>
        </w:rPr>
        <w:t>inició</w:t>
      </w:r>
      <w:r w:rsidRPr="001409A0">
        <w:rPr>
          <w:rFonts w:ascii="Arial Narrow" w:hAnsi="Arial Narrow"/>
        </w:rPr>
        <w:t xml:space="preserve"> las </w:t>
      </w:r>
      <w:r w:rsidR="001161D0">
        <w:rPr>
          <w:rFonts w:ascii="Arial Narrow" w:hAnsi="Arial Narrow"/>
        </w:rPr>
        <w:t>1</w:t>
      </w:r>
      <w:r w:rsidR="004C4ADE">
        <w:rPr>
          <w:rFonts w:ascii="Arial Narrow" w:hAnsi="Arial Narrow"/>
        </w:rPr>
        <w:t>2</w:t>
      </w:r>
      <w:r w:rsidRPr="002D73D3">
        <w:rPr>
          <w:rFonts w:ascii="Arial Narrow" w:hAnsi="Arial Narrow"/>
        </w:rPr>
        <w:t>:</w:t>
      </w:r>
      <w:r w:rsidR="004C4ADE">
        <w:rPr>
          <w:rFonts w:ascii="Arial Narrow" w:hAnsi="Arial Narrow"/>
        </w:rPr>
        <w:t>40</w:t>
      </w:r>
      <w:r w:rsidRPr="001409A0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1409A0">
        <w:rPr>
          <w:rFonts w:ascii="Arial Narrow" w:hAnsi="Arial Narrow"/>
        </w:rPr>
        <w:t xml:space="preserve">a </w:t>
      </w:r>
      <w:r w:rsidRPr="001409A0">
        <w:rPr>
          <w:rFonts w:ascii="Arial Narrow" w:hAnsi="Arial Narrow"/>
        </w:rPr>
        <w:t>que haya lugar.</w:t>
      </w:r>
      <w:r w:rsidR="007F26B7" w:rsidRPr="001409A0">
        <w:rPr>
          <w:rFonts w:ascii="Arial Narrow" w:hAnsi="Arial Narrow"/>
        </w:rPr>
        <w:t xml:space="preserve"> </w:t>
      </w:r>
      <w:r w:rsidRPr="001409A0">
        <w:rPr>
          <w:rFonts w:ascii="Arial Narrow" w:hAnsi="Arial Narrow"/>
        </w:rPr>
        <w:t>-----------------------------------------</w:t>
      </w:r>
      <w:r w:rsidR="002F6400">
        <w:rPr>
          <w:rFonts w:ascii="Arial Narrow" w:hAnsi="Arial Narrow"/>
        </w:rPr>
        <w:t>-------------------------------------------------------------------------------------------</w:t>
      </w:r>
    </w:p>
    <w:p w14:paraId="204E67E6" w14:textId="7CCED510" w:rsidR="007F209F" w:rsidRPr="001409A0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5D0C8AA" w14:textId="55F58BE4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48048876" w14:textId="70F40083" w:rsidR="002F6400" w:rsidRDefault="002F6400" w:rsidP="00440396">
      <w:pPr>
        <w:widowControl/>
        <w:ind w:right="-426"/>
        <w:jc w:val="both"/>
        <w:rPr>
          <w:rFonts w:ascii="Arial Narrow" w:hAnsi="Arial Narrow"/>
        </w:rPr>
      </w:pPr>
    </w:p>
    <w:p w14:paraId="5BC4A623" w14:textId="77777777" w:rsidR="002F6400" w:rsidRPr="001409A0" w:rsidRDefault="002F6400" w:rsidP="00440396">
      <w:pPr>
        <w:widowControl/>
        <w:ind w:right="-426"/>
        <w:jc w:val="both"/>
        <w:rPr>
          <w:rFonts w:ascii="Arial Narrow" w:hAnsi="Arial Narrow"/>
        </w:rPr>
      </w:pPr>
    </w:p>
    <w:p w14:paraId="33BABC7B" w14:textId="77777777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15C79016" w14:textId="27FAF0DD" w:rsidR="007F209F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60F726EC" w14:textId="049D275F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1BFC0FC0" w14:textId="77777777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19F001CC" w14:textId="0FD1F65D" w:rsidR="00F92F8A" w:rsidRDefault="00F92F8A" w:rsidP="00440396">
      <w:pPr>
        <w:widowControl/>
        <w:ind w:right="-426"/>
        <w:jc w:val="both"/>
        <w:rPr>
          <w:rFonts w:ascii="Arial Narrow" w:hAnsi="Arial Narrow"/>
        </w:rPr>
      </w:pPr>
    </w:p>
    <w:p w14:paraId="04E5089C" w14:textId="6187EC56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36828AC4" w14:textId="49124DC8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5E3EBD8F" w14:textId="77777777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33586564" w14:textId="77777777" w:rsidR="00F92F8A" w:rsidRDefault="00F92F8A" w:rsidP="00440396">
      <w:pPr>
        <w:widowControl/>
        <w:ind w:right="-426"/>
        <w:jc w:val="both"/>
        <w:rPr>
          <w:rFonts w:ascii="Arial Narrow" w:hAnsi="Arial Narrow"/>
        </w:rPr>
      </w:pPr>
    </w:p>
    <w:p w14:paraId="5BBE9B2C" w14:textId="77777777" w:rsidR="007F209F" w:rsidRPr="00CF029E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2F693C8" w14:textId="536E0A43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CF029E">
        <w:rPr>
          <w:rFonts w:ascii="Arial Narrow" w:hAnsi="Arial Narrow" w:cs="Calibri Light"/>
        </w:rPr>
        <w:t xml:space="preserve">                    </w:t>
      </w:r>
      <w:r w:rsidRPr="00190C42">
        <w:rPr>
          <w:rFonts w:ascii="Arial Narrow" w:hAnsi="Arial Narrow" w:cs="Calibri Light"/>
          <w:sz w:val="18"/>
          <w:szCs w:val="18"/>
        </w:rPr>
        <w:t>__________________________________                                                                                ______________________________</w:t>
      </w:r>
      <w:r w:rsidR="00D70AD6" w:rsidRPr="00190C42">
        <w:rPr>
          <w:rFonts w:ascii="Arial Narrow" w:hAnsi="Arial Narrow" w:cs="Calibri Light"/>
          <w:sz w:val="18"/>
          <w:szCs w:val="18"/>
        </w:rPr>
        <w:t>___</w:t>
      </w:r>
    </w:p>
    <w:p w14:paraId="68901C6C" w14:textId="3ECCB25E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</w:t>
      </w:r>
      <w:r w:rsidRPr="002D73D3">
        <w:rPr>
          <w:rFonts w:ascii="Arial Narrow" w:hAnsi="Arial Narrow" w:cs="Calibri Light"/>
          <w:b/>
          <w:bCs/>
          <w:sz w:val="18"/>
          <w:szCs w:val="18"/>
        </w:rPr>
        <w:t>L</w:t>
      </w:r>
      <w:r w:rsidR="004855FA" w:rsidRPr="002D73D3">
        <w:rPr>
          <w:rFonts w:ascii="Arial Narrow" w:hAnsi="Arial Narrow" w:cs="Calibri Light"/>
          <w:b/>
          <w:bCs/>
          <w:sz w:val="18"/>
          <w:szCs w:val="18"/>
        </w:rPr>
        <w:t>IC. MARIBEL BECERRA</w:t>
      </w:r>
      <w:r w:rsidR="004855FA" w:rsidRPr="00190C42">
        <w:rPr>
          <w:rFonts w:ascii="Arial Narrow" w:hAnsi="Arial Narrow" w:cs="Calibri Light"/>
          <w:b/>
          <w:bCs/>
          <w:sz w:val="18"/>
          <w:szCs w:val="18"/>
        </w:rPr>
        <w:t xml:space="preserve"> </w:t>
      </w:r>
      <w:r w:rsidR="00D75EF6" w:rsidRPr="002D73D3">
        <w:rPr>
          <w:rFonts w:ascii="Arial Narrow" w:hAnsi="Arial Narrow" w:cs="Calibri Light"/>
          <w:b/>
          <w:bCs/>
          <w:sz w:val="18"/>
          <w:szCs w:val="18"/>
        </w:rPr>
        <w:t>BAÑUELOS</w:t>
      </w: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                                                      LIC. ABRAHAM YASIR MACIEL MONTOYA</w:t>
      </w:r>
    </w:p>
    <w:p w14:paraId="7B9F40FC" w14:textId="1DAC1BF4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190C42">
        <w:rPr>
          <w:rFonts w:ascii="Arial Narrow" w:hAnsi="Arial Narrow" w:cs="Calibri Light"/>
          <w:sz w:val="18"/>
          <w:szCs w:val="18"/>
        </w:rPr>
        <w:t>DIRECTOR</w:t>
      </w:r>
      <w:r w:rsidR="004855FA" w:rsidRPr="00190C42">
        <w:rPr>
          <w:rFonts w:ascii="Arial Narrow" w:hAnsi="Arial Narrow" w:cs="Calibri Light"/>
          <w:sz w:val="18"/>
          <w:szCs w:val="18"/>
        </w:rPr>
        <w:t>A</w:t>
      </w:r>
      <w:r w:rsidRPr="00190C42">
        <w:rPr>
          <w:rFonts w:ascii="Arial Narrow" w:hAnsi="Arial Narrow" w:cs="Calibri Light"/>
          <w:sz w:val="18"/>
          <w:szCs w:val="18"/>
        </w:rPr>
        <w:t xml:space="preserve"> DE </w:t>
      </w:r>
      <w:r w:rsidR="00C052DF">
        <w:rPr>
          <w:rFonts w:ascii="Arial Narrow" w:hAnsi="Arial Narrow" w:cs="Calibri Light"/>
          <w:sz w:val="18"/>
          <w:szCs w:val="18"/>
        </w:rPr>
        <w:t>GESTIÓN ADMINISTRATIVA</w:t>
      </w:r>
      <w:r w:rsidRPr="00190C42">
        <w:rPr>
          <w:rFonts w:ascii="Arial Narrow" w:hAnsi="Arial Narrow" w:cs="Calibri Light"/>
          <w:sz w:val="18"/>
          <w:szCs w:val="18"/>
        </w:rPr>
        <w:t xml:space="preserve"> DEL ORGANISMO PÚBLICO                     COORDINADOR DE ADQUISICIONES DEL ORGANISMO PÚBLICO</w:t>
      </w:r>
    </w:p>
    <w:p w14:paraId="759FA4AB" w14:textId="03CF471B" w:rsidR="00190C42" w:rsidRPr="00190C42" w:rsidRDefault="00DE665F" w:rsidP="00190C42">
      <w:pPr>
        <w:spacing w:line="276" w:lineRule="auto"/>
        <w:ind w:right="-708"/>
        <w:rPr>
          <w:rFonts w:ascii="Arial Narrow" w:hAnsi="Arial Narrow" w:cs="Calibri Light"/>
        </w:rPr>
      </w:pPr>
      <w:r w:rsidRPr="00190C42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DESCENTRALIZADO SERVICIOS DE SALUD JALISCO</w:t>
      </w:r>
    </w:p>
    <w:p w14:paraId="1F81608D" w14:textId="3B2749E6" w:rsidR="007F209F" w:rsidRDefault="00D958F4" w:rsidP="007F209F">
      <w:pPr>
        <w:spacing w:line="276" w:lineRule="auto"/>
        <w:jc w:val="both"/>
        <w:rPr>
          <w:rFonts w:ascii="Arial Narrow" w:hAnsi="Arial Narrow" w:cstheme="minorHAnsi"/>
          <w:b/>
          <w:bCs/>
          <w:smallCaps/>
          <w:sz w:val="18"/>
          <w:szCs w:val="18"/>
        </w:rPr>
      </w:pPr>
      <w:r w:rsidRP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</w:t>
      </w:r>
      <w:r w:rsid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</w:t>
      </w:r>
    </w:p>
    <w:p w14:paraId="6C68B067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p w14:paraId="6282E632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sectPr w:rsidR="007F209F" w:rsidSect="00CB3911">
      <w:headerReference w:type="default" r:id="rId9"/>
      <w:footerReference w:type="default" r:id="rId10"/>
      <w:pgSz w:w="12240" w:h="15840"/>
      <w:pgMar w:top="1024" w:right="900" w:bottom="42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964135" w:rsidRDefault="00131DD2" w:rsidP="004E3FE7">
    <w:pPr>
      <w:tabs>
        <w:tab w:val="center" w:pos="4550"/>
        <w:tab w:val="left" w:pos="5818"/>
      </w:tabs>
      <w:ind w:right="260"/>
      <w:jc w:val="right"/>
      <w:rPr>
        <w:rFonts w:ascii="Arial Narrow" w:hAnsi="Arial Narrow" w:cs="Calibri Light"/>
        <w:color w:val="0F243E" w:themeColor="text2" w:themeShade="80"/>
        <w:sz w:val="16"/>
        <w:szCs w:val="16"/>
      </w:rPr>
    </w:pPr>
    <w:r w:rsidRPr="00964135">
      <w:rPr>
        <w:rFonts w:ascii="Arial Narrow" w:hAnsi="Arial Narrow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6B7E33A1" w:rsidR="00131DD2" w:rsidRDefault="00CC3E52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5F7AA451">
          <wp:simplePos x="0" y="0"/>
          <wp:positionH relativeFrom="column">
            <wp:posOffset>-464820</wp:posOffset>
          </wp:positionH>
          <wp:positionV relativeFrom="paragraph">
            <wp:posOffset>80010</wp:posOffset>
          </wp:positionV>
          <wp:extent cx="2011680" cy="44704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B570A" w14:textId="17C13E42" w:rsidR="00131DD2" w:rsidRDefault="00131DD2">
    <w:pPr>
      <w:pStyle w:val="Encabezado"/>
    </w:pP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p w14:paraId="20F71167" w14:textId="77777777" w:rsidR="00CC3E52" w:rsidRDefault="00CC3E52" w:rsidP="004C012B">
    <w:pPr>
      <w:ind w:left="284" w:right="34"/>
      <w:jc w:val="center"/>
      <w:rPr>
        <w:rFonts w:ascii="Arial Narrow" w:eastAsia="Arial" w:hAnsi="Arial Narrow" w:cs="Calibri Light"/>
        <w:iCs/>
        <w:sz w:val="18"/>
        <w:szCs w:val="18"/>
        <w:lang w:val="es-ES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1CCD4593" w:rsidR="00FB56E2" w:rsidRPr="00FB56E2" w:rsidRDefault="002D73D3" w:rsidP="00CC3E52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LICITACIÓN PÚBLICA </w:t>
        </w:r>
        <w:r w:rsidR="00EE5918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NACION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AL L</w:t>
        </w:r>
        <w:r w:rsidR="00EE5918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S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CC-0</w:t>
        </w:r>
        <w:r w:rsidR="004B073C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2</w:t>
        </w:r>
        <w:r w:rsidR="00EE5918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7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-2022 </w:t>
        </w:r>
        <w:r w:rsidR="00EE5918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SIN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 CONCURRENCIA DE</w:t>
        </w:r>
        <w:r w:rsidR="004B073C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 COMITÉ</w:t>
        </w:r>
      </w:p>
    </w:sdtContent>
  </w:sdt>
  <w:p w14:paraId="2C09EC84" w14:textId="3D8568F1" w:rsidR="00131DD2" w:rsidRPr="00C37635" w:rsidRDefault="00617390" w:rsidP="00617390">
    <w:pPr>
      <w:jc w:val="center"/>
      <w:rPr>
        <w:sz w:val="18"/>
        <w:szCs w:val="18"/>
      </w:rPr>
    </w:pPr>
    <w:r w:rsidRPr="00617390">
      <w:rPr>
        <w:rFonts w:ascii="Arial Narrow" w:hAnsi="Arial Narrow" w:cs="Arial"/>
        <w:b/>
        <w:smallCaps/>
        <w:sz w:val="18"/>
        <w:szCs w:val="18"/>
      </w:rPr>
      <w:t>“ADQUISICIÓN DE SILLAS DE RUEDAS PARA EL CENTRO DE ATENCIÓN INTEGRAL EN SALUD MENTAL (CAISAME) DE ESTANCIA PROLONGADA ADSCRITO AL INSTITUTO JALISCIENSE DE SALUD MENTAL (SALME)”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623D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150F1"/>
    <w:rsid w:val="001161D0"/>
    <w:rsid w:val="00121B79"/>
    <w:rsid w:val="00121E37"/>
    <w:rsid w:val="00124F36"/>
    <w:rsid w:val="001250DD"/>
    <w:rsid w:val="001308A6"/>
    <w:rsid w:val="001314E6"/>
    <w:rsid w:val="00131DD2"/>
    <w:rsid w:val="0013556F"/>
    <w:rsid w:val="00137D1D"/>
    <w:rsid w:val="001409A0"/>
    <w:rsid w:val="00140F5B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76803"/>
    <w:rsid w:val="0018122D"/>
    <w:rsid w:val="00185015"/>
    <w:rsid w:val="00186E03"/>
    <w:rsid w:val="00190C42"/>
    <w:rsid w:val="00192413"/>
    <w:rsid w:val="001947BE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D73D3"/>
    <w:rsid w:val="002E1E9A"/>
    <w:rsid w:val="002E4BD2"/>
    <w:rsid w:val="002F125B"/>
    <w:rsid w:val="002F6400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393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73C"/>
    <w:rsid w:val="004B097C"/>
    <w:rsid w:val="004B15E3"/>
    <w:rsid w:val="004B3C3C"/>
    <w:rsid w:val="004B6028"/>
    <w:rsid w:val="004B696E"/>
    <w:rsid w:val="004C012B"/>
    <w:rsid w:val="004C4ADE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571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6D17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17390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16C"/>
    <w:rsid w:val="006975CB"/>
    <w:rsid w:val="006977BA"/>
    <w:rsid w:val="006A3A14"/>
    <w:rsid w:val="006A3B48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1C1A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4EB8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A7DFB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5A3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135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5FE7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8672D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2DF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3911"/>
    <w:rsid w:val="00CB5928"/>
    <w:rsid w:val="00CB7E08"/>
    <w:rsid w:val="00CC1AC0"/>
    <w:rsid w:val="00CC2D64"/>
    <w:rsid w:val="00CC2FB4"/>
    <w:rsid w:val="00CC34CB"/>
    <w:rsid w:val="00CC3E52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66252"/>
    <w:rsid w:val="00D70AD6"/>
    <w:rsid w:val="00D71088"/>
    <w:rsid w:val="00D726C4"/>
    <w:rsid w:val="00D73D2E"/>
    <w:rsid w:val="00D750B2"/>
    <w:rsid w:val="00D7526A"/>
    <w:rsid w:val="00D75EF6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6AF4"/>
    <w:rsid w:val="00E07E5C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E5918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05B51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3AA4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2F8A"/>
    <w:rsid w:val="00F9639A"/>
    <w:rsid w:val="00F96A82"/>
    <w:rsid w:val="00F97935"/>
    <w:rsid w:val="00F97E40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09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A42D921E343949EB802F1265CF33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DBB-D380-4806-A7DB-6548C5BD58A8}"/>
      </w:docPartPr>
      <w:docPartBody>
        <w:p w:rsidR="004D0A8E" w:rsidRDefault="00FE516D" w:rsidP="00FE516D">
          <w:pPr>
            <w:pStyle w:val="A42D921E343949EB802F1265CF3378C6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60A2E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D0A8E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70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24054"/>
    <w:rsid w:val="00F52629"/>
    <w:rsid w:val="00F77BF9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0700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A42D921E343949EB802F1265CF3378C6">
    <w:name w:val="A42D921E343949EB802F1265CF3378C6"/>
    <w:rsid w:val="00FE516D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09 de septiembre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NACIONAL LSCC-027-2022 SIN CONCURRENCIA DEL COMITÉ</dc:subject>
  <dc:creator>Christian</dc:creator>
  <dc:description>Anexo 1 Gafetes.zip.</dc:description>
  <cp:lastModifiedBy>Direccion de Recursos Materiales</cp:lastModifiedBy>
  <cp:revision>4</cp:revision>
  <cp:lastPrinted>2022-09-29T20:53:00Z</cp:lastPrinted>
  <dcterms:created xsi:type="dcterms:W3CDTF">2022-09-21T19:51:00Z</dcterms:created>
  <dcterms:modified xsi:type="dcterms:W3CDTF">2022-09-29T21:02:00Z</dcterms:modified>
  <cp:category>“ADQUISICIÓN DE SILLAS DE RUEDAS PARA EL CENTRO DE ATENCIÓN INTEGRAL EN SALUD MENTAL (CAISAME) DE ESTANCIA PROLONGADA ADSCRITO AL INSTITUTO JALISCIENSE DE SALUD MENTAL (SALME)”</cp:category>
</cp:coreProperties>
</file>