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6B0F29F4" w:rsidR="00964F34" w:rsidRPr="007D14BB" w:rsidRDefault="00A430CF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LCCC-040-2022 CON CONCURRENCIA DEL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C52EFF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795FFC7B" w14:textId="5A361281" w:rsidR="00947C11" w:rsidRPr="001947BE" w:rsidRDefault="00BB3817" w:rsidP="005A6D17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64"/>
            <w:szCs w:val="64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82547">
            <w:rPr>
              <w:rFonts w:ascii="Arial Narrow" w:hAnsi="Arial Narrow" w:cs="Arial"/>
              <w:b/>
              <w:sz w:val="64"/>
              <w:szCs w:val="64"/>
              <w:lang w:eastAsia="ar-SA"/>
            </w:rPr>
            <w:t>“SERVICIO DE TRANSPORTE DE PERSONAL Y PACIENTES DEL CENTRO DE ATENCIÓN INTEGRAL DE SALUD MENTAL (CAISAME) ESTANCIA PROLONGADA DEL INSTITUTO JALISCIENSE DE SALUD MENTAL (SALME)”</w:t>
          </w:r>
        </w:sdtContent>
      </w:sdt>
    </w:p>
    <w:p w14:paraId="7265FA95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605A0EB" w14:textId="50FB595F" w:rsidR="001947BE" w:rsidRDefault="001947BE" w:rsidP="00440396">
      <w:pPr>
        <w:rPr>
          <w:rFonts w:ascii="Arial Narrow" w:eastAsia="Arial" w:hAnsi="Arial Narrow" w:cs="Arial"/>
          <w:lang w:val="es-ES"/>
        </w:rPr>
      </w:pPr>
    </w:p>
    <w:p w14:paraId="55A0710B" w14:textId="77777777" w:rsidR="001947BE" w:rsidRDefault="001947BE" w:rsidP="00440396">
      <w:pPr>
        <w:rPr>
          <w:rFonts w:ascii="Arial Narrow" w:eastAsia="Arial" w:hAnsi="Arial Narrow" w:cs="Arial"/>
          <w:lang w:val="es-ES"/>
        </w:rPr>
      </w:pPr>
    </w:p>
    <w:p w14:paraId="4224ECCA" w14:textId="2F3C7DF1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</w:t>
          </w:r>
          <w:r w:rsidR="00A430CF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30</w:t>
          </w:r>
          <w:r w:rsidR="005A6D17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de </w:t>
          </w:r>
          <w:r w:rsidR="00EE591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septiembre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5A2BE3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010CB260" w14:textId="77777777" w:rsidR="005A2BE3" w:rsidRDefault="005A2BE3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3C7EBFDE" w:rsidR="00AC75D7" w:rsidRPr="001409A0" w:rsidRDefault="00AC75D7" w:rsidP="001150F1">
      <w:pPr>
        <w:ind w:right="-142"/>
        <w:jc w:val="both"/>
        <w:rPr>
          <w:rFonts w:ascii="Arial Narrow" w:eastAsia="Arial" w:hAnsi="Arial Narrow" w:cs="Calibri Light"/>
          <w:bCs/>
          <w:spacing w:val="1"/>
        </w:rPr>
      </w:pPr>
      <w:r w:rsidRPr="001409A0">
        <w:rPr>
          <w:rFonts w:ascii="Arial Narrow" w:eastAsiaTheme="minorEastAsia" w:hAnsi="Arial Narrow" w:cstheme="majorHAnsi"/>
        </w:rPr>
        <w:t xml:space="preserve">En la ciudad de Guadalajara Jalisco, siendo </w:t>
      </w:r>
      <w:r w:rsidR="002D73D3" w:rsidRPr="00FA2B19">
        <w:rPr>
          <w:rFonts w:ascii="Arial Narrow" w:eastAsiaTheme="minorEastAsia" w:hAnsi="Arial Narrow" w:cstheme="majorHAnsi"/>
        </w:rPr>
        <w:t>las 1</w:t>
      </w:r>
      <w:r w:rsidR="005C769A" w:rsidRPr="00FA2B19">
        <w:rPr>
          <w:rFonts w:ascii="Arial Narrow" w:eastAsiaTheme="minorEastAsia" w:hAnsi="Arial Narrow" w:cstheme="majorHAnsi"/>
        </w:rPr>
        <w:t>3</w:t>
      </w:r>
      <w:r w:rsidR="002D73D3" w:rsidRPr="00FA2B19">
        <w:rPr>
          <w:rFonts w:ascii="Arial Narrow" w:eastAsiaTheme="minorEastAsia" w:hAnsi="Arial Narrow" w:cstheme="majorHAnsi"/>
        </w:rPr>
        <w:t>:</w:t>
      </w:r>
      <w:r w:rsidR="005C769A" w:rsidRPr="00FA2B19">
        <w:rPr>
          <w:rFonts w:ascii="Arial Narrow" w:eastAsiaTheme="minorEastAsia" w:hAnsi="Arial Narrow" w:cstheme="majorHAnsi"/>
        </w:rPr>
        <w:t>30</w:t>
      </w:r>
      <w:r w:rsidR="002D73D3" w:rsidRPr="00FA2B19">
        <w:rPr>
          <w:rFonts w:ascii="Arial Narrow" w:eastAsiaTheme="minorEastAsia" w:hAnsi="Arial Narrow" w:cstheme="majorHAnsi"/>
        </w:rPr>
        <w:t xml:space="preserve"> horas</w:t>
      </w:r>
      <w:r w:rsidR="002D73D3">
        <w:rPr>
          <w:rFonts w:ascii="Arial Narrow" w:eastAsiaTheme="minorEastAsia" w:hAnsi="Arial Narrow" w:cstheme="majorHAnsi"/>
        </w:rPr>
        <w:t xml:space="preserve"> del</w:t>
      </w:r>
      <w:r w:rsidRPr="001409A0">
        <w:rPr>
          <w:rFonts w:ascii="Arial Narrow" w:eastAsiaTheme="minorEastAsia" w:hAnsi="Arial Narrow" w:cstheme="majorHAnsi"/>
        </w:rPr>
        <w:t xml:space="preserve">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430CF">
            <w:rPr>
              <w:rFonts w:ascii="Arial Narrow" w:eastAsiaTheme="minorEastAsia" w:hAnsi="Arial Narrow" w:cstheme="majorHAnsi"/>
              <w:b/>
              <w:bCs/>
            </w:rPr>
            <w:t xml:space="preserve"> 30 de septiembre de 2022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 en el Auditorio </w:t>
      </w:r>
      <w:r w:rsidR="00A268D1" w:rsidRPr="001409A0">
        <w:rPr>
          <w:rFonts w:ascii="Arial Narrow" w:eastAsiaTheme="minorEastAsia" w:hAnsi="Arial Narrow" w:cstheme="majorHAnsi"/>
        </w:rPr>
        <w:t xml:space="preserve">de las oficinas centrales </w:t>
      </w:r>
      <w:r w:rsidRPr="001409A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1409A0">
        <w:rPr>
          <w:rFonts w:ascii="Arial Narrow" w:eastAsiaTheme="minorEastAsia" w:hAnsi="Arial Narrow" w:cstheme="majorHAnsi"/>
        </w:rPr>
        <w:t xml:space="preserve"> Alzaga</w:t>
      </w:r>
      <w:r w:rsidRPr="001409A0">
        <w:rPr>
          <w:rFonts w:ascii="Arial Narrow" w:eastAsiaTheme="minorEastAsia" w:hAnsi="Arial Narrow" w:cstheme="majorHAnsi"/>
        </w:rPr>
        <w:t xml:space="preserve"> 107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C.P. 44100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col. Centro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="002D73D3">
        <w:rPr>
          <w:rFonts w:ascii="Arial Narrow" w:eastAsiaTheme="minorEastAsia" w:hAnsi="Arial Narrow" w:cstheme="majorHAnsi"/>
        </w:rPr>
        <w:t xml:space="preserve"> del presente documento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0CF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LCCC-040-2022 CON CONCURRENCIA DEL COMITÉ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emitido por el 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406580584"/>
          <w:placeholder>
            <w:docPart w:val="A42D921E343949EB802F1265CF3378C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430CF">
            <w:rPr>
              <w:rFonts w:ascii="Arial Narrow" w:eastAsiaTheme="minorEastAsia" w:hAnsi="Arial Narrow" w:cstheme="majorHAnsi"/>
              <w:b/>
              <w:bCs/>
            </w:rPr>
            <w:t xml:space="preserve"> 30 de septiembre de 2022</w:t>
          </w:r>
        </w:sdtContent>
      </w:sdt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, de conformidad con </w:t>
      </w:r>
      <w:r w:rsidR="00FA2B19">
        <w:rPr>
          <w:rFonts w:ascii="Arial Narrow" w:eastAsia="Arial" w:hAnsi="Arial Narrow" w:cs="Calibri Light"/>
          <w:bCs/>
          <w:spacing w:val="1"/>
        </w:rPr>
        <w:t>el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 punto siguiente:</w:t>
      </w:r>
    </w:p>
    <w:p w14:paraId="35756AFB" w14:textId="74C7AA45" w:rsidR="00CF029E" w:rsidRPr="001409A0" w:rsidRDefault="00EE5918" w:rsidP="00EE5918">
      <w:pPr>
        <w:tabs>
          <w:tab w:val="left" w:pos="7125"/>
        </w:tabs>
        <w:jc w:val="both"/>
        <w:rPr>
          <w:rFonts w:ascii="Arial Narrow" w:eastAsiaTheme="minorEastAsia" w:hAnsi="Arial Narrow" w:cstheme="majorHAnsi"/>
          <w:b/>
          <w:bCs/>
        </w:rPr>
      </w:pPr>
      <w:r>
        <w:rPr>
          <w:rFonts w:ascii="Arial Narrow" w:eastAsiaTheme="minorEastAsia" w:hAnsi="Arial Narrow" w:cstheme="majorHAnsi"/>
          <w:b/>
          <w:bCs/>
        </w:rPr>
        <w:tab/>
      </w:r>
    </w:p>
    <w:p w14:paraId="04AAB023" w14:textId="4DCD7C2C" w:rsidR="000A66FB" w:rsidRDefault="000A66FB" w:rsidP="0068251A">
      <w:pPr>
        <w:ind w:left="1843" w:right="-142"/>
        <w:jc w:val="both"/>
        <w:rPr>
          <w:rFonts w:ascii="Arial Narrow" w:eastAsiaTheme="minorEastAsia" w:hAnsi="Arial Narrow" w:cstheme="majorHAnsi"/>
        </w:rPr>
      </w:pPr>
      <w:proofErr w:type="gramStart"/>
      <w:r>
        <w:rPr>
          <w:rFonts w:ascii="Arial Narrow" w:eastAsiaTheme="minorEastAsia" w:hAnsi="Arial Narrow" w:cstheme="majorHAnsi"/>
          <w:b/>
          <w:bCs/>
        </w:rPr>
        <w:t>PRIMERO.-</w:t>
      </w:r>
      <w:proofErr w:type="gramEnd"/>
      <w:r>
        <w:rPr>
          <w:rFonts w:ascii="Arial Narrow" w:eastAsiaTheme="minorEastAsia" w:hAnsi="Arial Narrow" w:cstheme="majorHAnsi"/>
        </w:rPr>
        <w:t xml:space="preserve"> En el Fallo de Adjudicación</w:t>
      </w:r>
      <w:r>
        <w:rPr>
          <w:rFonts w:ascii="Arial Narrow" w:eastAsiaTheme="minorEastAsia" w:hAnsi="Arial Narrow" w:cstheme="majorHAnsi"/>
          <w:b/>
          <w:bCs/>
        </w:rPr>
        <w:t xml:space="preserve"> </w:t>
      </w:r>
      <w:r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id w:val="179474442"/>
          <w:placeholder>
            <w:docPart w:val="9C6C6A93F7C845CFA1116F6024C6DDB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LCCC-040-2022 CON CONCURRENCIA DEL COMITÉ</w:t>
          </w:r>
        </w:sdtContent>
      </w:sdt>
      <w:r>
        <w:rPr>
          <w:rFonts w:ascii="Arial Narrow" w:eastAsiaTheme="minorEastAsia" w:hAnsi="Arial Narrow" w:cstheme="majorHAnsi"/>
        </w:rPr>
        <w:t xml:space="preserve">, respecto a la </w:t>
      </w:r>
      <w:r>
        <w:rPr>
          <w:rFonts w:ascii="Arial Narrow" w:eastAsiaTheme="minorEastAsia" w:hAnsi="Arial Narrow" w:cstheme="majorHAnsi"/>
        </w:rPr>
        <w:t xml:space="preserve">contratación </w:t>
      </w:r>
      <w:r>
        <w:rPr>
          <w:rFonts w:ascii="Arial Narrow" w:eastAsiaTheme="minorEastAsia" w:hAnsi="Arial Narrow" w:cstheme="majorHAnsi"/>
        </w:rPr>
        <w:t>de</w:t>
      </w:r>
      <w:r>
        <w:rPr>
          <w:rFonts w:ascii="Arial Narrow" w:eastAsiaTheme="minorEastAsia" w:hAnsi="Arial Narrow" w:cstheme="majorHAnsi"/>
        </w:rPr>
        <w:t xml:space="preserve">l </w:t>
      </w:r>
      <w:sdt>
        <w:sdtPr>
          <w:rPr>
            <w:rFonts w:ascii="Arial Narrow" w:hAnsi="Arial Narrow" w:cs="Arial"/>
            <w:b/>
            <w:smallCaps/>
          </w:rPr>
          <w:alias w:val="Categoría"/>
          <w:id w:val="-240489681"/>
          <w:placeholder>
            <w:docPart w:val="7408819737B44322AA7F9C345AB669C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 Narrow" w:hAnsi="Arial Narrow" w:cs="Arial"/>
              <w:b/>
              <w:smallCaps/>
            </w:rPr>
            <w:t>“SERVICIO DE TRANSPORTE DE PERSONAL Y PACIENTES DEL CENTRO DE ATENCIÓN INTEGRAL DE SALUD MENTAL (CAISAME) ESTANCIA PROLONGADA DEL INSTITUTO JALISCIENSE DE SALUD MENTAL (SALME)”</w:t>
          </w:r>
        </w:sdtContent>
      </w:sdt>
      <w:r>
        <w:rPr>
          <w:rFonts w:ascii="Arial Narrow" w:eastAsiaTheme="minorEastAsia" w:hAnsi="Arial Narrow" w:cstheme="majorHAnsi"/>
        </w:rPr>
        <w:t>,</w:t>
      </w:r>
      <w:bookmarkStart w:id="1" w:name="_Hlk104570666"/>
      <w:r>
        <w:rPr>
          <w:rFonts w:ascii="Arial Narrow" w:eastAsiaTheme="minorEastAsia" w:hAnsi="Arial Narrow" w:cstheme="majorHAnsi"/>
        </w:rPr>
        <w:t xml:space="preserve"> en el punto </w:t>
      </w:r>
      <w:r>
        <w:rPr>
          <w:rFonts w:ascii="Arial Narrow" w:eastAsiaTheme="minorEastAsia" w:hAnsi="Arial Narrow" w:cstheme="majorHAnsi"/>
          <w:b/>
          <w:bCs/>
        </w:rPr>
        <w:t xml:space="preserve">“PRIMERO” </w:t>
      </w:r>
      <w:r>
        <w:rPr>
          <w:rFonts w:ascii="Arial Narrow" w:eastAsiaTheme="minorEastAsia" w:hAnsi="Arial Narrow" w:cstheme="majorHAnsi"/>
        </w:rPr>
        <w:t>del apartado “</w:t>
      </w:r>
      <w:r>
        <w:rPr>
          <w:rFonts w:ascii="Arial Narrow" w:eastAsiaTheme="minorEastAsia" w:hAnsi="Arial Narrow" w:cstheme="majorHAnsi"/>
          <w:b/>
          <w:bCs/>
        </w:rPr>
        <w:t>PROPOSICIONES</w:t>
      </w:r>
      <w:r>
        <w:rPr>
          <w:rFonts w:ascii="Arial Narrow" w:eastAsiaTheme="minorEastAsia" w:hAnsi="Arial Narrow" w:cstheme="majorHAnsi"/>
        </w:rPr>
        <w:t>”, específicamente en el cuadro de adjudicación</w:t>
      </w:r>
      <w:r w:rsidR="0068251A">
        <w:rPr>
          <w:rFonts w:ascii="Arial Narrow" w:eastAsiaTheme="minorEastAsia" w:hAnsi="Arial Narrow" w:cstheme="majorHAnsi"/>
        </w:rPr>
        <w:t xml:space="preserve"> </w:t>
      </w:r>
      <w:r>
        <w:rPr>
          <w:rFonts w:ascii="Arial Narrow" w:eastAsiaTheme="minorEastAsia" w:hAnsi="Arial Narrow" w:cstheme="majorHAnsi"/>
        </w:rPr>
        <w:t>…</w:t>
      </w:r>
      <w:bookmarkEnd w:id="1"/>
    </w:p>
    <w:p w14:paraId="7573C0D1" w14:textId="77777777" w:rsidR="00813261" w:rsidRPr="001409A0" w:rsidRDefault="00813261" w:rsidP="00652440">
      <w:pPr>
        <w:jc w:val="both"/>
        <w:rPr>
          <w:rFonts w:ascii="Arial Narrow" w:eastAsiaTheme="minorEastAsia" w:hAnsi="Arial Narrow" w:cstheme="majorHAnsi"/>
        </w:rPr>
      </w:pPr>
    </w:p>
    <w:p w14:paraId="20F3ADB8" w14:textId="58D6D7C2" w:rsidR="00C057F1" w:rsidRDefault="004C012B" w:rsidP="0068251A">
      <w:pPr>
        <w:ind w:left="1843" w:right="140"/>
        <w:jc w:val="both"/>
      </w:pPr>
      <w:r w:rsidRPr="001409A0">
        <w:rPr>
          <w:rFonts w:ascii="Arial Narrow" w:eastAsiaTheme="minorEastAsia" w:hAnsi="Arial Narrow" w:cstheme="majorHAnsi"/>
        </w:rPr>
        <w:t>Di</w:t>
      </w:r>
      <w:r w:rsidR="0069716C" w:rsidRPr="001409A0">
        <w:rPr>
          <w:rFonts w:ascii="Arial Narrow" w:eastAsiaTheme="minorEastAsia" w:hAnsi="Arial Narrow" w:cstheme="majorHAnsi"/>
        </w:rPr>
        <w:t>ce:</w:t>
      </w:r>
      <w:r w:rsidR="001409A0" w:rsidRPr="001409A0">
        <w:t xml:space="preserve">    </w:t>
      </w:r>
    </w:p>
    <w:p w14:paraId="452004C5" w14:textId="7863C47E" w:rsidR="000A66FB" w:rsidRDefault="000A66FB" w:rsidP="001409A0">
      <w:pPr>
        <w:ind w:left="2410" w:right="140" w:firstLine="142"/>
        <w:jc w:val="both"/>
      </w:pPr>
    </w:p>
    <w:tbl>
      <w:tblPr>
        <w:tblW w:w="4204" w:type="pct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991"/>
        <w:gridCol w:w="993"/>
        <w:gridCol w:w="2125"/>
        <w:gridCol w:w="993"/>
        <w:gridCol w:w="991"/>
        <w:gridCol w:w="993"/>
      </w:tblGrid>
      <w:tr w:rsidR="0068251A" w:rsidRPr="000A66FB" w14:paraId="013B7718" w14:textId="77777777" w:rsidTr="00FA2B19">
        <w:trPr>
          <w:trHeight w:val="50"/>
          <w:tblHeader/>
        </w:trPr>
        <w:tc>
          <w:tcPr>
            <w:tcW w:w="555" w:type="pct"/>
            <w:vMerge w:val="restart"/>
            <w:shd w:val="clear" w:color="000000" w:fill="305496"/>
            <w:vAlign w:val="center"/>
            <w:hideMark/>
          </w:tcPr>
          <w:p w14:paraId="1925015E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PROGRESIVO </w:t>
            </w:r>
          </w:p>
        </w:tc>
        <w:tc>
          <w:tcPr>
            <w:tcW w:w="477" w:type="pct"/>
            <w:vMerge w:val="restart"/>
            <w:shd w:val="clear" w:color="000000" w:fill="305496"/>
            <w:vAlign w:val="center"/>
            <w:hideMark/>
          </w:tcPr>
          <w:p w14:paraId="3BB22427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CANTIDAD MÍNIMA</w:t>
            </w:r>
          </w:p>
        </w:tc>
        <w:tc>
          <w:tcPr>
            <w:tcW w:w="555" w:type="pct"/>
            <w:vMerge w:val="restart"/>
            <w:shd w:val="clear" w:color="000000" w:fill="305496"/>
            <w:vAlign w:val="center"/>
            <w:hideMark/>
          </w:tcPr>
          <w:p w14:paraId="3C21BE11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CANTIDAD MAXIMA  </w:t>
            </w:r>
          </w:p>
        </w:tc>
        <w:tc>
          <w:tcPr>
            <w:tcW w:w="556" w:type="pct"/>
            <w:vMerge w:val="restart"/>
            <w:shd w:val="clear" w:color="000000" w:fill="305496"/>
            <w:noWrap/>
            <w:vAlign w:val="center"/>
            <w:hideMark/>
          </w:tcPr>
          <w:p w14:paraId="75855A1B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U.M. </w:t>
            </w:r>
          </w:p>
        </w:tc>
        <w:tc>
          <w:tcPr>
            <w:tcW w:w="1190" w:type="pct"/>
            <w:vMerge w:val="restart"/>
            <w:shd w:val="clear" w:color="000000" w:fill="305496"/>
            <w:noWrap/>
            <w:vAlign w:val="center"/>
            <w:hideMark/>
          </w:tcPr>
          <w:p w14:paraId="17DEA609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DESCRIPCIÓN </w:t>
            </w:r>
          </w:p>
        </w:tc>
        <w:tc>
          <w:tcPr>
            <w:tcW w:w="1667" w:type="pct"/>
            <w:gridSpan w:val="3"/>
            <w:shd w:val="clear" w:color="000000" w:fill="305496"/>
            <w:vAlign w:val="center"/>
            <w:hideMark/>
          </w:tcPr>
          <w:p w14:paraId="53947438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bookmarkStart w:id="2" w:name="_Hlk115348655"/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LOGÍSTICA ACTITUD Y RESPONSABILIDAD EN EL TRANSPORTE EJECUTIVO S.A. DE C.V.</w:t>
            </w:r>
            <w:bookmarkEnd w:id="2"/>
          </w:p>
        </w:tc>
      </w:tr>
      <w:tr w:rsidR="0068251A" w:rsidRPr="000A66FB" w14:paraId="0741B545" w14:textId="77777777" w:rsidTr="00FA2B19">
        <w:trPr>
          <w:trHeight w:val="50"/>
          <w:tblHeader/>
        </w:trPr>
        <w:tc>
          <w:tcPr>
            <w:tcW w:w="555" w:type="pct"/>
            <w:vMerge/>
            <w:vAlign w:val="center"/>
            <w:hideMark/>
          </w:tcPr>
          <w:p w14:paraId="615472AA" w14:textId="77777777" w:rsidR="000A66FB" w:rsidRPr="0068251A" w:rsidRDefault="000A66FB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7FBFBE45" w14:textId="77777777" w:rsidR="000A66FB" w:rsidRPr="0068251A" w:rsidRDefault="000A66FB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79F3528D" w14:textId="77777777" w:rsidR="000A66FB" w:rsidRPr="0068251A" w:rsidRDefault="000A66FB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06B2E43C" w14:textId="77777777" w:rsidR="000A66FB" w:rsidRPr="0068251A" w:rsidRDefault="000A66FB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17EA92C3" w14:textId="77777777" w:rsidR="000A66FB" w:rsidRPr="0068251A" w:rsidRDefault="000A66FB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56" w:type="pct"/>
            <w:shd w:val="clear" w:color="000000" w:fill="305496"/>
            <w:vAlign w:val="center"/>
            <w:hideMark/>
          </w:tcPr>
          <w:p w14:paraId="1D0D08D3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P.U.</w:t>
            </w:r>
          </w:p>
        </w:tc>
        <w:tc>
          <w:tcPr>
            <w:tcW w:w="555" w:type="pct"/>
            <w:shd w:val="clear" w:color="000000" w:fill="305496"/>
            <w:vAlign w:val="center"/>
            <w:hideMark/>
          </w:tcPr>
          <w:p w14:paraId="18185328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IMPORTE MÍNIMO </w:t>
            </w:r>
          </w:p>
        </w:tc>
        <w:tc>
          <w:tcPr>
            <w:tcW w:w="556" w:type="pct"/>
            <w:shd w:val="clear" w:color="000000" w:fill="305496"/>
            <w:vAlign w:val="center"/>
            <w:hideMark/>
          </w:tcPr>
          <w:p w14:paraId="783AEA76" w14:textId="77777777" w:rsidR="000A66FB" w:rsidRPr="0068251A" w:rsidRDefault="000A66FB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IMPORTE MÁXIMO</w:t>
            </w:r>
          </w:p>
        </w:tc>
      </w:tr>
      <w:tr w:rsidR="0068251A" w:rsidRPr="000A66FB" w14:paraId="06F8633B" w14:textId="77777777" w:rsidTr="0068251A">
        <w:trPr>
          <w:trHeight w:val="558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ED3CA0A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DFAE7C2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3D99B659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4CF54900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1190" w:type="pct"/>
            <w:shd w:val="clear" w:color="000000" w:fill="FFFFFF"/>
            <w:vAlign w:val="center"/>
            <w:hideMark/>
          </w:tcPr>
          <w:p w14:paraId="78FE6894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VIAJE SENCILLO </w:t>
            </w:r>
          </w:p>
          <w:p w14:paraId="52FEDEF7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16BC8479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Las unidades son con capacidad para 40 pasajeros con sistema de Localización y con chofer con experiencia capacitado para el servicio con licencia vigente, Uniforme y la unidad cuenta con asientos tapizados en tela, aire acondicionado y salidas de emergencia, extintor y botiquín, cortina en ventilla y Póliza de seguro de cobertura amplia y daños a terceros. Todo esto, conforme a los reglamentos en materia de Viabilidad, Todos los servicios se proporcionan con Cortesía en favor de los Pacientes y Trabajadores observando y salvaguardando el debido respeto y derechos individuales de los Pacientes y Trabadores.</w:t>
            </w:r>
          </w:p>
          <w:p w14:paraId="5932C828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C359B33" w14:textId="3EC8A2A9" w:rsidR="000A66FB" w:rsidRPr="000A66FB" w:rsidRDefault="000A66FB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El Servicio de Transporte de Personal y Pacientes del Centro de Atención Integral de Salud Mental se proporcionará </w:t>
            </w:r>
            <w:proofErr w:type="gramStart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de acuerdo a</w:t>
            </w:r>
            <w:proofErr w:type="gramEnd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las rutas y paradas establecidas: GUADAL</w:t>
            </w:r>
            <w:r w:rsidR="006C1E0E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JARA (Parque Morelos) – HOSPITAL CEP (El Zapote del Valle Tlajomulco de Zúñiga) - GUADALAJARA (Parque Morelos) y los horarios se los servicios serán por las Mañanas, Tardes y Noches.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F8F9FE2" w14:textId="77777777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$ 1,050.00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3F58F52" w14:textId="1CD4B829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$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351,750.00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E881E1F" w14:textId="40934C2B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586,950.00 </w:t>
            </w:r>
          </w:p>
        </w:tc>
      </w:tr>
      <w:tr w:rsidR="0068251A" w:rsidRPr="000A66FB" w14:paraId="79367545" w14:textId="77777777" w:rsidTr="0068251A">
        <w:trPr>
          <w:trHeight w:val="1586"/>
        </w:trPr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8B5B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05C905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1FDB00B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5DB4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EB295B5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VIAJE REDONDO</w:t>
            </w:r>
          </w:p>
          <w:p w14:paraId="2426405C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6A7FC9C8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Las unidades son con capacidad para 40 pasajeros con sistema de Localización y con chofer con experiencia capacitado para el servicio con licencia vigente, Uniforme y la unidad cuenta con asientos tapizados en tela, aire acondicionado y salidas de 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emergencia, extintor y botiquín, cortina en ventilla y Póliza de seguro de cobertura amplia y daños a terceros. Todo esto, conforme a los reglamentos en materia de Viabilidad, Todos los servicios se proporcionan con Cortesía en favor de los Pacientes y Trabajadores observando y salvaguardando el debido respeto y derechos individuales de los Pacientes y Trabadores.</w:t>
            </w:r>
          </w:p>
          <w:p w14:paraId="436CFEFC" w14:textId="77777777" w:rsidR="000A66FB" w:rsidRPr="000A66FB" w:rsidRDefault="000A66FB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77ED0A7" w14:textId="14B0AF8D" w:rsidR="000A66FB" w:rsidRPr="000A66FB" w:rsidRDefault="000A66FB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El Servicio de Transporte de Personal y Pacientes del Centro de Atención Integral de Salud Mental se proporcionará </w:t>
            </w:r>
            <w:proofErr w:type="gramStart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de acuerdo a</w:t>
            </w:r>
            <w:proofErr w:type="gramEnd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las rutas y paradas establecidas: GUADAL</w:t>
            </w:r>
            <w:r w:rsidR="00FA2B19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JARA (Parque Morelos) – HOSPITAL CEP (El Zapote del Valle Tlajomulco de Zúñiga) - GUADALAJARA (Parque Morelos) y los horarios se los servicios serán por las Mañanas, Tardes y Noches.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177EF7" w14:textId="77777777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 xml:space="preserve"> $ 1,238.00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EC3F1" w14:textId="7F797E5F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$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393,684.00 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5FB1D8" w14:textId="6DDDF1CC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$  656,140.00</w:t>
            </w:r>
            <w:proofErr w:type="gramEnd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68251A" w:rsidRPr="000A66FB" w14:paraId="0FCC6684" w14:textId="77777777" w:rsidTr="0068251A">
        <w:trPr>
          <w:trHeight w:val="53"/>
        </w:trPr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50C" w14:textId="77777777" w:rsidR="000A66FB" w:rsidRPr="000A66FB" w:rsidRDefault="000A66FB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64D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B582C1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E43B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F1752A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289BE9" w14:textId="77777777" w:rsidR="000A66FB" w:rsidRPr="000A66FB" w:rsidRDefault="000A66FB" w:rsidP="0061181E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SUBTOTAL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DF1F058" w14:textId="46933881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745,434.00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59E2A60" w14:textId="6715B8D3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$1,243,090.00 </w:t>
            </w:r>
          </w:p>
        </w:tc>
      </w:tr>
      <w:tr w:rsidR="0068251A" w:rsidRPr="000A66FB" w14:paraId="4BFEDE79" w14:textId="77777777" w:rsidTr="0068251A">
        <w:trPr>
          <w:trHeight w:val="53"/>
        </w:trPr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DED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8AE0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7BAE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6EA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3DA4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BA4A63A" w14:textId="77777777" w:rsidR="000A66FB" w:rsidRPr="000A66FB" w:rsidRDefault="000A66FB" w:rsidP="0061181E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IVA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689DD42" w14:textId="1F30F257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119,269.44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F9ECD0" w14:textId="74FDA90B" w:rsidR="000A66FB" w:rsidRPr="000A66FB" w:rsidRDefault="000A66FB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198,894.40 </w:t>
            </w:r>
          </w:p>
        </w:tc>
      </w:tr>
      <w:tr w:rsidR="0068251A" w:rsidRPr="000A66FB" w14:paraId="3126D46E" w14:textId="77777777" w:rsidTr="0068251A">
        <w:trPr>
          <w:trHeight w:val="53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BEA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F53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E094A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FF5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0D10" w14:textId="77777777" w:rsidR="000A66FB" w:rsidRPr="000A66FB" w:rsidRDefault="000A66FB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ECDD73C" w14:textId="77777777" w:rsidR="000A66FB" w:rsidRPr="000A66FB" w:rsidRDefault="000A66FB" w:rsidP="0061181E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9C6EA05" w14:textId="75DFC7A8" w:rsidR="000A66FB" w:rsidRPr="000A66FB" w:rsidRDefault="000A66FB" w:rsidP="0061181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$   864,703.44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0C97C2" w14:textId="71EF4754" w:rsidR="000A66FB" w:rsidRPr="000A66FB" w:rsidRDefault="000A66FB" w:rsidP="0061181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$1,441,984.40 </w:t>
            </w:r>
          </w:p>
        </w:tc>
      </w:tr>
    </w:tbl>
    <w:p w14:paraId="5D1C5D67" w14:textId="44DBE0A5" w:rsidR="001409A0" w:rsidRPr="00A8672D" w:rsidRDefault="001409A0" w:rsidP="006C1E0E">
      <w:pPr>
        <w:ind w:right="140"/>
        <w:jc w:val="both"/>
      </w:pPr>
    </w:p>
    <w:p w14:paraId="6D2C0CB4" w14:textId="3A4276BC" w:rsidR="001150F1" w:rsidRDefault="00315CF3" w:rsidP="006C1E0E">
      <w:pPr>
        <w:ind w:left="1843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Debe dec</w:t>
      </w:r>
      <w:r w:rsidR="0069716C" w:rsidRPr="001409A0">
        <w:rPr>
          <w:rFonts w:ascii="Arial Narrow" w:eastAsiaTheme="minorEastAsia" w:hAnsi="Arial Narrow" w:cstheme="majorHAnsi"/>
        </w:rPr>
        <w:t xml:space="preserve">ir: </w:t>
      </w:r>
      <w:r w:rsidR="001409A0" w:rsidRPr="001409A0">
        <w:rPr>
          <w:rFonts w:ascii="Arial Narrow" w:eastAsiaTheme="minorEastAsia" w:hAnsi="Arial Narrow" w:cstheme="majorHAnsi"/>
        </w:rPr>
        <w:t xml:space="preserve">  </w:t>
      </w:r>
    </w:p>
    <w:p w14:paraId="22D1E87C" w14:textId="69D09CE2" w:rsidR="006C1E0E" w:rsidRDefault="006C1E0E" w:rsidP="006C1E0E">
      <w:pPr>
        <w:ind w:left="1843" w:right="140"/>
        <w:jc w:val="both"/>
        <w:rPr>
          <w:rFonts w:ascii="Arial Narrow" w:eastAsiaTheme="minorEastAsia" w:hAnsi="Arial Narrow" w:cstheme="majorHAnsi"/>
        </w:rPr>
      </w:pPr>
    </w:p>
    <w:tbl>
      <w:tblPr>
        <w:tblW w:w="4204" w:type="pct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2"/>
        <w:gridCol w:w="991"/>
        <w:gridCol w:w="993"/>
        <w:gridCol w:w="2125"/>
        <w:gridCol w:w="993"/>
        <w:gridCol w:w="991"/>
        <w:gridCol w:w="993"/>
      </w:tblGrid>
      <w:tr w:rsidR="006C1E0E" w:rsidRPr="000A66FB" w14:paraId="1381FB7F" w14:textId="77777777" w:rsidTr="00FA2B19">
        <w:trPr>
          <w:trHeight w:val="50"/>
          <w:tblHeader/>
        </w:trPr>
        <w:tc>
          <w:tcPr>
            <w:tcW w:w="555" w:type="pct"/>
            <w:vMerge w:val="restart"/>
            <w:shd w:val="clear" w:color="000000" w:fill="305496"/>
            <w:vAlign w:val="center"/>
            <w:hideMark/>
          </w:tcPr>
          <w:p w14:paraId="6AA5340B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PROGRESIVO </w:t>
            </w:r>
          </w:p>
        </w:tc>
        <w:tc>
          <w:tcPr>
            <w:tcW w:w="477" w:type="pct"/>
            <w:vMerge w:val="restart"/>
            <w:shd w:val="clear" w:color="000000" w:fill="305496"/>
            <w:vAlign w:val="center"/>
            <w:hideMark/>
          </w:tcPr>
          <w:p w14:paraId="5ECA6FAD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CANTIDAD MÍNIMA</w:t>
            </w:r>
          </w:p>
        </w:tc>
        <w:tc>
          <w:tcPr>
            <w:tcW w:w="555" w:type="pct"/>
            <w:vMerge w:val="restart"/>
            <w:shd w:val="clear" w:color="000000" w:fill="305496"/>
            <w:vAlign w:val="center"/>
            <w:hideMark/>
          </w:tcPr>
          <w:p w14:paraId="172B1CFD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CANTIDAD MAXIMA  </w:t>
            </w:r>
          </w:p>
        </w:tc>
        <w:tc>
          <w:tcPr>
            <w:tcW w:w="556" w:type="pct"/>
            <w:vMerge w:val="restart"/>
            <w:shd w:val="clear" w:color="000000" w:fill="305496"/>
            <w:noWrap/>
            <w:vAlign w:val="center"/>
            <w:hideMark/>
          </w:tcPr>
          <w:p w14:paraId="6C03C0EB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U.M. </w:t>
            </w:r>
          </w:p>
        </w:tc>
        <w:tc>
          <w:tcPr>
            <w:tcW w:w="1190" w:type="pct"/>
            <w:vMerge w:val="restart"/>
            <w:shd w:val="clear" w:color="000000" w:fill="305496"/>
            <w:noWrap/>
            <w:vAlign w:val="center"/>
            <w:hideMark/>
          </w:tcPr>
          <w:p w14:paraId="670CDB40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DESCRIPCIÓN </w:t>
            </w:r>
          </w:p>
        </w:tc>
        <w:tc>
          <w:tcPr>
            <w:tcW w:w="1667" w:type="pct"/>
            <w:gridSpan w:val="3"/>
            <w:shd w:val="clear" w:color="000000" w:fill="305496"/>
            <w:vAlign w:val="center"/>
            <w:hideMark/>
          </w:tcPr>
          <w:p w14:paraId="73440508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LOGÍSTICA ACTITUD Y RESPONSABILIDAD EN EL TRANSPORTE EJECUTIVO S.A. DE C.V.</w:t>
            </w:r>
          </w:p>
        </w:tc>
      </w:tr>
      <w:tr w:rsidR="006C1E0E" w:rsidRPr="000A66FB" w14:paraId="342FCA4F" w14:textId="77777777" w:rsidTr="00FA2B19">
        <w:trPr>
          <w:trHeight w:val="50"/>
          <w:tblHeader/>
        </w:trPr>
        <w:tc>
          <w:tcPr>
            <w:tcW w:w="555" w:type="pct"/>
            <w:vMerge/>
            <w:vAlign w:val="center"/>
            <w:hideMark/>
          </w:tcPr>
          <w:p w14:paraId="7C99E6B6" w14:textId="77777777" w:rsidR="006C1E0E" w:rsidRPr="0068251A" w:rsidRDefault="006C1E0E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14:paraId="3734E16F" w14:textId="77777777" w:rsidR="006C1E0E" w:rsidRPr="0068251A" w:rsidRDefault="006C1E0E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02B928FC" w14:textId="77777777" w:rsidR="006C1E0E" w:rsidRPr="0068251A" w:rsidRDefault="006C1E0E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14:paraId="1465EDDE" w14:textId="77777777" w:rsidR="006C1E0E" w:rsidRPr="0068251A" w:rsidRDefault="006C1E0E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90" w:type="pct"/>
            <w:vMerge/>
            <w:vAlign w:val="center"/>
            <w:hideMark/>
          </w:tcPr>
          <w:p w14:paraId="25631879" w14:textId="77777777" w:rsidR="006C1E0E" w:rsidRPr="0068251A" w:rsidRDefault="006C1E0E" w:rsidP="0061181E">
            <w:pPr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556" w:type="pct"/>
            <w:shd w:val="clear" w:color="000000" w:fill="305496"/>
            <w:vAlign w:val="center"/>
            <w:hideMark/>
          </w:tcPr>
          <w:p w14:paraId="65AE94A0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P.U.</w:t>
            </w:r>
          </w:p>
        </w:tc>
        <w:tc>
          <w:tcPr>
            <w:tcW w:w="555" w:type="pct"/>
            <w:shd w:val="clear" w:color="000000" w:fill="305496"/>
            <w:vAlign w:val="center"/>
            <w:hideMark/>
          </w:tcPr>
          <w:p w14:paraId="7588A094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 xml:space="preserve">IMPORTE MÍNIMO </w:t>
            </w:r>
          </w:p>
        </w:tc>
        <w:tc>
          <w:tcPr>
            <w:tcW w:w="556" w:type="pct"/>
            <w:shd w:val="clear" w:color="000000" w:fill="305496"/>
            <w:vAlign w:val="center"/>
            <w:hideMark/>
          </w:tcPr>
          <w:p w14:paraId="15854188" w14:textId="77777777" w:rsidR="006C1E0E" w:rsidRPr="0068251A" w:rsidRDefault="006C1E0E" w:rsidP="0061181E">
            <w:pPr>
              <w:jc w:val="center"/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</w:pPr>
            <w:r w:rsidRPr="0068251A">
              <w:rPr>
                <w:rFonts w:ascii="Arial Narrow" w:hAnsi="Arial Narrow"/>
                <w:b/>
                <w:bCs/>
                <w:color w:val="FFFFFF"/>
                <w:sz w:val="14"/>
                <w:szCs w:val="14"/>
              </w:rPr>
              <w:t>IMPORTE MÁXIMO</w:t>
            </w:r>
          </w:p>
        </w:tc>
      </w:tr>
      <w:tr w:rsidR="006C1E0E" w:rsidRPr="000A66FB" w14:paraId="721350A6" w14:textId="77777777" w:rsidTr="0061181E">
        <w:trPr>
          <w:trHeight w:val="558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871129D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14:paraId="14E3E9AE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14:paraId="0688671F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9E8B880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1190" w:type="pct"/>
            <w:shd w:val="clear" w:color="000000" w:fill="FFFFFF"/>
            <w:vAlign w:val="center"/>
            <w:hideMark/>
          </w:tcPr>
          <w:p w14:paraId="2FFACEBB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VIAJE SENCILLO </w:t>
            </w:r>
          </w:p>
          <w:p w14:paraId="43D9B9AB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12B4B7E1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Las unidades son con capacidad para 40 pasajeros con sistema de Localización y con chofer con experiencia capacitado para el servicio con licencia vigente, Uniforme y la unidad cuenta con asientos tapizados en tela, aire acondicionado y salidas de emergencia, extintor y botiquín, cortina en ventilla y Póliza de seguro de cobertura amplia y daños a terceros. Todo esto, conforme a los reglamentos en materia de Viabilidad, Todos los servicios se proporcionan con Cortesía en favor de los Pacientes y Trabajadores observando y salvaguardando el debido respeto y derechos individuales de los Pacientes y Trabadores.</w:t>
            </w:r>
          </w:p>
          <w:p w14:paraId="39FEF5A6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522C304" w14:textId="54286B28" w:rsidR="006C1E0E" w:rsidRPr="000A66FB" w:rsidRDefault="006C1E0E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El Servicio de Transporte de Personal y Pacientes del Centro de Atención Integral de Salud Mental se proporcionará </w:t>
            </w:r>
            <w:proofErr w:type="gramStart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de acuerdo a</w:t>
            </w:r>
            <w:proofErr w:type="gramEnd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las rutas y paradas 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establecidas: GUADAL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JARA (Parque Morelos) – HOSPITAL CEP (El Zapote del Valle Tlajomulco de Zúñiga) - GUADALAJARA (Parque Morelos)</w:t>
            </w:r>
            <w:r w:rsidR="008D7699">
              <w:rPr>
                <w:rFonts w:ascii="Arial Narrow" w:hAnsi="Arial Narrow"/>
                <w:color w:val="000000"/>
                <w:sz w:val="16"/>
                <w:szCs w:val="16"/>
              </w:rPr>
              <w:t xml:space="preserve"> e </w:t>
            </w:r>
            <w:r w:rsidR="008D7699" w:rsidRPr="008D76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IXTLAHUCÁN de los Membrillos, Jalisco - HOSPITAL CEP (El Zapote del Valle Tlajomulco de Zúñiga) - IXTLAHUCÁN de los Membrillos, Jalisco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y los horarios se los servicios serán por las Mañanas, Tardes y Noches.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1A01E89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 xml:space="preserve"> $ 1,050.00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6C03C72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$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351,750.00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7DBB09C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586,950.00 </w:t>
            </w:r>
          </w:p>
        </w:tc>
      </w:tr>
      <w:tr w:rsidR="006C1E0E" w:rsidRPr="000A66FB" w14:paraId="6ABD392F" w14:textId="77777777" w:rsidTr="008D7699">
        <w:trPr>
          <w:trHeight w:val="645"/>
        </w:trPr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D36F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012F28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67ABF3D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95B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FBDBDD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VIAJE REDONDO</w:t>
            </w:r>
          </w:p>
          <w:p w14:paraId="1B2E8507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62B22BEB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Las unidades son con capacidad para 40 pasajeros con sistema de Localización y con chofer con experiencia capacitado para el servicio con licencia vigente, Uniforme y la unidad cuenta con asientos tapizados en tela, aire acondicionado y salidas de emergencia, extintor y botiquín, cortina en ventilla y Póliza de seguro de cobertura amplia y daños a terceros. Todo esto, conforme a los reglamentos en materia de Viabilidad, Todos los servicios se proporcionan con Cortesía en favor de los Pacientes y Trabajadores observando y salvaguardando el debido respeto y derechos individuales de los Pacientes y Trabadores.</w:t>
            </w:r>
          </w:p>
          <w:p w14:paraId="684BB00F" w14:textId="77777777" w:rsidR="006C1E0E" w:rsidRPr="000A66FB" w:rsidRDefault="006C1E0E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3AAE198C" w14:textId="470BDB82" w:rsidR="006C1E0E" w:rsidRPr="000A66FB" w:rsidRDefault="006C1E0E" w:rsidP="0061181E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El Servicio de Transporte de Personal y Pacientes del Centro de Atención Integral de Salud Mental se proporcionará </w:t>
            </w:r>
            <w:proofErr w:type="gramStart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de acuerdo a</w:t>
            </w:r>
            <w:proofErr w:type="gramEnd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las rutas y paradas establecidas: GUADAL</w:t>
            </w:r>
            <w:r w:rsidR="007E2F00">
              <w:rPr>
                <w:rFonts w:ascii="Arial Narrow" w:hAnsi="Arial Narrow"/>
                <w:color w:val="000000"/>
                <w:sz w:val="16"/>
                <w:szCs w:val="16"/>
              </w:rPr>
              <w:t>A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JARA (Parque Morelos) – HOSPITAL CEP (El Zapote del Valle Tlajomulco de Zúñiga) - GUADALAJARA (Parque Morelos)</w:t>
            </w:r>
            <w:r w:rsidR="007E2F00">
              <w:rPr>
                <w:rFonts w:ascii="Arial Narrow" w:hAnsi="Arial Narrow"/>
                <w:color w:val="000000"/>
                <w:sz w:val="16"/>
                <w:szCs w:val="16"/>
              </w:rPr>
              <w:t xml:space="preserve"> e </w:t>
            </w:r>
            <w:r w:rsidR="007E2F00" w:rsidRPr="008D76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 xml:space="preserve">IXTLAHUCÁN de los Membrillos, Jalisco - </w:t>
            </w:r>
            <w:r w:rsidR="007E2F00" w:rsidRPr="008D76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HOSPITAL CEP (El Zapote del Valle Tlajomulco de Zúñiga)</w:t>
            </w:r>
            <w:r w:rsidR="007E2F00" w:rsidRPr="008D76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 xml:space="preserve"> - </w:t>
            </w:r>
            <w:r w:rsidR="006B1145" w:rsidRPr="008D769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IXTLAHUCÁN de los Membrillos, Jalisco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y los horarios se los servicios serán por las Mañanas, Tardes y Noches.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16F17E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$ 1,238.00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B3C40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$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393,684.00 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83360B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>$  656,140.00</w:t>
            </w:r>
            <w:proofErr w:type="gramEnd"/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6C1E0E" w:rsidRPr="000A66FB" w14:paraId="4A721A47" w14:textId="77777777" w:rsidTr="0061181E">
        <w:trPr>
          <w:trHeight w:val="53"/>
        </w:trPr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9D35" w14:textId="77777777" w:rsidR="006C1E0E" w:rsidRPr="000A66FB" w:rsidRDefault="006C1E0E" w:rsidP="0061181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F1FD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5E5AF0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5EA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2AD4B3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A2EB4B0" w14:textId="77777777" w:rsidR="006C1E0E" w:rsidRPr="000A66FB" w:rsidRDefault="006C1E0E" w:rsidP="0061181E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SUBTOTAL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CD69FBA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745,434.00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0BA699A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$1,243,090.00 </w:t>
            </w:r>
          </w:p>
        </w:tc>
      </w:tr>
      <w:tr w:rsidR="006C1E0E" w:rsidRPr="000A66FB" w14:paraId="71D058C4" w14:textId="77777777" w:rsidTr="0061181E">
        <w:trPr>
          <w:trHeight w:val="53"/>
        </w:trPr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DC3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0EC3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F5CE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A4B1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7BC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2C23D79" w14:textId="77777777" w:rsidR="006C1E0E" w:rsidRPr="000A66FB" w:rsidRDefault="006C1E0E" w:rsidP="0061181E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IVA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0BD0AF3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119,269.44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F59C466" w14:textId="77777777" w:rsidR="006C1E0E" w:rsidRPr="000A66FB" w:rsidRDefault="006C1E0E" w:rsidP="0061181E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$   198,894.40 </w:t>
            </w:r>
          </w:p>
        </w:tc>
      </w:tr>
      <w:tr w:rsidR="006C1E0E" w:rsidRPr="000A66FB" w14:paraId="1DCA863C" w14:textId="77777777" w:rsidTr="0061181E">
        <w:trPr>
          <w:trHeight w:val="53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DA1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F05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8B04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D4C5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6BE1" w14:textId="77777777" w:rsidR="006C1E0E" w:rsidRPr="000A66FB" w:rsidRDefault="006C1E0E" w:rsidP="0061181E">
            <w:pPr>
              <w:rPr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C663E3A" w14:textId="77777777" w:rsidR="006C1E0E" w:rsidRPr="000A66FB" w:rsidRDefault="006C1E0E" w:rsidP="0061181E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96E0658" w14:textId="77777777" w:rsidR="006C1E0E" w:rsidRPr="000A66FB" w:rsidRDefault="006C1E0E" w:rsidP="0061181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$   864,703.44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CF63E8D" w14:textId="77777777" w:rsidR="006C1E0E" w:rsidRPr="000A66FB" w:rsidRDefault="006C1E0E" w:rsidP="0061181E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A66F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$1,441,984.40 </w:t>
            </w:r>
          </w:p>
        </w:tc>
      </w:tr>
    </w:tbl>
    <w:p w14:paraId="16DA07F0" w14:textId="77777777" w:rsidR="001150F1" w:rsidRDefault="001150F1" w:rsidP="00FA2B19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546F16FD" w14:textId="267D5C58" w:rsidR="002F6400" w:rsidRPr="00F92F8A" w:rsidRDefault="001409A0" w:rsidP="00FA2B19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</w:t>
      </w:r>
    </w:p>
    <w:p w14:paraId="09C53508" w14:textId="0305E962" w:rsidR="00DE665F" w:rsidRPr="001409A0" w:rsidRDefault="00DE665F" w:rsidP="002F6400">
      <w:pPr>
        <w:widowControl/>
        <w:ind w:right="-284"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la</w:t>
      </w:r>
      <w:r w:rsidRPr="00FA2B19">
        <w:rPr>
          <w:rFonts w:ascii="Arial Narrow" w:hAnsi="Arial Narrow"/>
        </w:rPr>
        <w:t xml:space="preserve">s </w:t>
      </w:r>
      <w:r w:rsidR="001161D0" w:rsidRPr="00FA2B19">
        <w:rPr>
          <w:rFonts w:ascii="Arial Narrow" w:hAnsi="Arial Narrow"/>
        </w:rPr>
        <w:t>1</w:t>
      </w:r>
      <w:r w:rsidR="005C769A" w:rsidRPr="00FA2B19">
        <w:rPr>
          <w:rFonts w:ascii="Arial Narrow" w:hAnsi="Arial Narrow"/>
        </w:rPr>
        <w:t>3</w:t>
      </w:r>
      <w:r w:rsidRPr="00FA2B19">
        <w:rPr>
          <w:rFonts w:ascii="Arial Narrow" w:hAnsi="Arial Narrow"/>
        </w:rPr>
        <w:t>:</w:t>
      </w:r>
      <w:r w:rsidR="005C769A" w:rsidRPr="00FA2B19">
        <w:rPr>
          <w:rFonts w:ascii="Arial Narrow" w:hAnsi="Arial Narrow"/>
        </w:rPr>
        <w:t>40</w:t>
      </w:r>
      <w:r w:rsidRPr="00FA2B19">
        <w:rPr>
          <w:rFonts w:ascii="Arial Narrow" w:hAnsi="Arial Narrow"/>
        </w:rPr>
        <w:t xml:space="preserve"> horas</w:t>
      </w:r>
      <w:r w:rsidRPr="001409A0">
        <w:rPr>
          <w:rFonts w:ascii="Arial Narrow" w:hAnsi="Arial Narrow"/>
        </w:rPr>
        <w:t xml:space="preserve">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</w:t>
      </w:r>
      <w:r w:rsidR="002F6400">
        <w:rPr>
          <w:rFonts w:ascii="Arial Narrow" w:hAnsi="Arial Narrow"/>
        </w:rPr>
        <w:t>-------------------------------------------------------------------------------------------</w:t>
      </w:r>
    </w:p>
    <w:p w14:paraId="204E67E6" w14:textId="7CCED510" w:rsidR="007F209F" w:rsidRPr="001409A0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5D0C8AA" w14:textId="55F58BE4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48048876" w14:textId="70F40083" w:rsidR="002F6400" w:rsidRDefault="002F6400" w:rsidP="00440396">
      <w:pPr>
        <w:widowControl/>
        <w:ind w:right="-426"/>
        <w:jc w:val="both"/>
        <w:rPr>
          <w:rFonts w:ascii="Arial Narrow" w:hAnsi="Arial Narrow"/>
        </w:rPr>
      </w:pPr>
    </w:p>
    <w:p w14:paraId="5BC4A623" w14:textId="77777777" w:rsidR="002F6400" w:rsidRPr="001409A0" w:rsidRDefault="002F6400" w:rsidP="00440396">
      <w:pPr>
        <w:widowControl/>
        <w:ind w:right="-426"/>
        <w:jc w:val="both"/>
        <w:rPr>
          <w:rFonts w:ascii="Arial Narrow" w:hAnsi="Arial Narrow"/>
        </w:rPr>
      </w:pPr>
    </w:p>
    <w:p w14:paraId="33BABC7B" w14:textId="77777777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15C79016" w14:textId="27FAF0DD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60F726EC" w14:textId="049D275F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1BFC0FC0" w14:textId="77777777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19F001CC" w14:textId="0FD1F65D" w:rsidR="00F92F8A" w:rsidRDefault="00F92F8A" w:rsidP="00440396">
      <w:pPr>
        <w:widowControl/>
        <w:ind w:right="-426"/>
        <w:jc w:val="both"/>
        <w:rPr>
          <w:rFonts w:ascii="Arial Narrow" w:hAnsi="Arial Narrow"/>
        </w:rPr>
      </w:pPr>
    </w:p>
    <w:p w14:paraId="04E5089C" w14:textId="6187EC56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5E3EBD8F" w14:textId="77777777" w:rsidR="00FF0911" w:rsidRDefault="00FF0911" w:rsidP="00440396">
      <w:pPr>
        <w:widowControl/>
        <w:ind w:right="-426"/>
        <w:jc w:val="both"/>
        <w:rPr>
          <w:rFonts w:ascii="Arial Narrow" w:hAnsi="Arial Narrow"/>
        </w:rPr>
      </w:pPr>
    </w:p>
    <w:p w14:paraId="33586564" w14:textId="77777777" w:rsidR="00F92F8A" w:rsidRDefault="00F92F8A" w:rsidP="00440396">
      <w:pPr>
        <w:widowControl/>
        <w:ind w:right="-426"/>
        <w:jc w:val="both"/>
        <w:rPr>
          <w:rFonts w:ascii="Arial Narrow" w:hAnsi="Arial Narrow"/>
        </w:rPr>
      </w:pPr>
    </w:p>
    <w:p w14:paraId="5BBE9B2C" w14:textId="77777777" w:rsidR="007F209F" w:rsidRPr="00CF029E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30E138A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</w:t>
      </w:r>
      <w:r w:rsidR="008D7699">
        <w:rPr>
          <w:rFonts w:ascii="Arial Narrow" w:hAnsi="Arial Narrow" w:cs="Calibri Light"/>
          <w:b/>
          <w:bCs/>
          <w:sz w:val="18"/>
          <w:szCs w:val="18"/>
        </w:rPr>
        <w:t xml:space="preserve">  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Pr="002D73D3">
        <w:rPr>
          <w:rFonts w:ascii="Arial Narrow" w:hAnsi="Arial Narrow" w:cs="Calibri Light"/>
          <w:b/>
          <w:bCs/>
          <w:sz w:val="18"/>
          <w:szCs w:val="18"/>
        </w:rPr>
        <w:t>L</w:t>
      </w:r>
      <w:r w:rsidR="004855FA" w:rsidRPr="002D73D3">
        <w:rPr>
          <w:rFonts w:ascii="Arial Narrow" w:hAnsi="Arial Narrow" w:cs="Calibri Light"/>
          <w:b/>
          <w:bCs/>
          <w:sz w:val="18"/>
          <w:szCs w:val="18"/>
        </w:rPr>
        <w:t>IC. MARIBEL BECERRA</w:t>
      </w:r>
      <w:r w:rsidR="004855FA" w:rsidRPr="00190C42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="00D75EF6" w:rsidRPr="002D73D3">
        <w:rPr>
          <w:rFonts w:ascii="Arial Narrow" w:hAnsi="Arial Narrow" w:cs="Calibri Light"/>
          <w:b/>
          <w:bCs/>
          <w:sz w:val="18"/>
          <w:szCs w:val="18"/>
        </w:rPr>
        <w:t>BAÑUELOS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 LIC. ABRAHAM YASIR MACIEL MONTOYA</w:t>
      </w:r>
    </w:p>
    <w:p w14:paraId="7B9F40FC" w14:textId="1DAC1BF4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 </w:t>
      </w:r>
      <w:r w:rsidR="00C052DF">
        <w:rPr>
          <w:rFonts w:ascii="Arial Narrow" w:hAnsi="Arial Narrow" w:cs="Calibri Light"/>
          <w:sz w:val="18"/>
          <w:szCs w:val="18"/>
        </w:rPr>
        <w:t>GESTIÓN ADMINISTRATIVA</w:t>
      </w:r>
      <w:r w:rsidRPr="00190C42">
        <w:rPr>
          <w:rFonts w:ascii="Arial Narrow" w:hAnsi="Arial Narrow" w:cs="Calibri Light"/>
          <w:sz w:val="18"/>
          <w:szCs w:val="18"/>
        </w:rPr>
        <w:t xml:space="preserve"> DEL ORGANISMO PÚBLICO                     COORDINADOR DE ADQUISICIONES DEL ORGANISMO PÚBLICO</w:t>
      </w:r>
    </w:p>
    <w:p w14:paraId="759FA4AB" w14:textId="03CF471B" w:rsidR="00190C42" w:rsidRPr="00190C42" w:rsidRDefault="00DE665F" w:rsidP="00190C42">
      <w:pPr>
        <w:spacing w:line="276" w:lineRule="auto"/>
        <w:ind w:right="-708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1F81608D" w14:textId="3B2749E6" w:rsidR="007F209F" w:rsidRDefault="00D958F4" w:rsidP="007F209F">
      <w:pPr>
        <w:spacing w:line="276" w:lineRule="auto"/>
        <w:jc w:val="both"/>
        <w:rPr>
          <w:rFonts w:ascii="Arial Narrow" w:hAnsi="Arial Narrow" w:cstheme="minorHAnsi"/>
          <w:b/>
          <w:bCs/>
          <w:smallCaps/>
          <w:sz w:val="18"/>
          <w:szCs w:val="18"/>
        </w:rPr>
      </w:pPr>
      <w:r w:rsidRP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</w:t>
      </w:r>
      <w:r w:rsid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</w:t>
      </w:r>
    </w:p>
    <w:p w14:paraId="6C68B067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CB3911">
      <w:headerReference w:type="default" r:id="rId9"/>
      <w:footerReference w:type="default" r:id="rId10"/>
      <w:pgSz w:w="12240" w:h="15840"/>
      <w:pgMar w:top="1024" w:right="900" w:bottom="42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964135" w:rsidRDefault="00131DD2" w:rsidP="004E3FE7">
    <w:pPr>
      <w:tabs>
        <w:tab w:val="center" w:pos="4550"/>
        <w:tab w:val="left" w:pos="5818"/>
      </w:tabs>
      <w:ind w:right="260"/>
      <w:jc w:val="right"/>
      <w:rPr>
        <w:rFonts w:ascii="Arial Narrow" w:hAnsi="Arial Narrow" w:cs="Calibri Light"/>
        <w:color w:val="0F243E" w:themeColor="text2" w:themeShade="80"/>
        <w:sz w:val="16"/>
        <w:szCs w:val="16"/>
      </w:rPr>
    </w:pPr>
    <w:r w:rsidRPr="00964135">
      <w:rPr>
        <w:rFonts w:ascii="Arial Narrow" w:hAnsi="Arial Narrow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6B7E33A1" w:rsidR="00131DD2" w:rsidRDefault="00CC3E52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5F7AA451">
          <wp:simplePos x="0" y="0"/>
          <wp:positionH relativeFrom="column">
            <wp:posOffset>-464820</wp:posOffset>
          </wp:positionH>
          <wp:positionV relativeFrom="paragraph">
            <wp:posOffset>80010</wp:posOffset>
          </wp:positionV>
          <wp:extent cx="2011680" cy="44704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B570A" w14:textId="17C13E42" w:rsidR="00131DD2" w:rsidRDefault="00131DD2">
    <w:pPr>
      <w:pStyle w:val="Encabezado"/>
    </w:pP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p w14:paraId="20F71167" w14:textId="77777777" w:rsidR="00CC3E52" w:rsidRDefault="00CC3E52" w:rsidP="004C012B">
    <w:pPr>
      <w:ind w:left="284" w:right="34"/>
      <w:jc w:val="center"/>
      <w:rPr>
        <w:rFonts w:ascii="Arial Narrow" w:eastAsia="Arial" w:hAnsi="Arial Narrow" w:cs="Calibri Light"/>
        <w:iCs/>
        <w:sz w:val="18"/>
        <w:szCs w:val="18"/>
        <w:lang w:val="es-ES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699B0388" w:rsidR="00FB56E2" w:rsidRPr="00FB56E2" w:rsidRDefault="002D73D3" w:rsidP="00CC3E52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LICITACIÓN PÚBLICA </w:t>
        </w:r>
        <w:r w:rsidR="00A430CF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LOC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AL L</w:t>
        </w:r>
        <w:r w:rsidR="00A430CF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C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CC-0</w:t>
        </w:r>
        <w:r w:rsidR="00A430CF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40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-2022 </w:t>
        </w:r>
        <w:r w:rsidR="00A430CF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CON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CONCURRENCIA DE</w:t>
        </w:r>
        <w:r w:rsidR="004B073C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 xml:space="preserve"> COMITÉ</w:t>
        </w:r>
      </w:p>
    </w:sdtContent>
  </w:sdt>
  <w:p w14:paraId="2C09EC84" w14:textId="1C805D9F" w:rsidR="00131DD2" w:rsidRPr="00C37635" w:rsidRDefault="00A430CF" w:rsidP="00A430CF">
    <w:pPr>
      <w:jc w:val="center"/>
      <w:rPr>
        <w:sz w:val="18"/>
        <w:szCs w:val="18"/>
      </w:rPr>
    </w:pPr>
    <w:r w:rsidRPr="00A430CF">
      <w:rPr>
        <w:rFonts w:ascii="Arial Narrow" w:hAnsi="Arial Narrow" w:cs="Arial"/>
        <w:b/>
        <w:smallCaps/>
        <w:sz w:val="18"/>
        <w:szCs w:val="18"/>
      </w:rPr>
      <w:t>“SERVICIO DE TRANSPORTE DE PERSONAL Y PACIENTES DEL CENTRO DE ATENCIÓN INTEGRAL DE SALUD MENTAL (CAISAME) ESTANCIA PROLONGADA DEL INSTITUTO JALISCIENSE DE SALUD MENTAL (SALME)”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A66FB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623D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150F1"/>
    <w:rsid w:val="001161D0"/>
    <w:rsid w:val="00121B79"/>
    <w:rsid w:val="00121E37"/>
    <w:rsid w:val="00124F36"/>
    <w:rsid w:val="001250DD"/>
    <w:rsid w:val="001308A6"/>
    <w:rsid w:val="001314E6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8122D"/>
    <w:rsid w:val="00185015"/>
    <w:rsid w:val="00186E03"/>
    <w:rsid w:val="00190C42"/>
    <w:rsid w:val="00192413"/>
    <w:rsid w:val="001947BE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D73D3"/>
    <w:rsid w:val="002E1E9A"/>
    <w:rsid w:val="002E4BD2"/>
    <w:rsid w:val="002F125B"/>
    <w:rsid w:val="002F6400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393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73C"/>
    <w:rsid w:val="004B097C"/>
    <w:rsid w:val="004B15E3"/>
    <w:rsid w:val="004B3C3C"/>
    <w:rsid w:val="004B6028"/>
    <w:rsid w:val="004B696E"/>
    <w:rsid w:val="004C012B"/>
    <w:rsid w:val="004C4ADE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571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6D17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69A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17390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51A"/>
    <w:rsid w:val="006829E3"/>
    <w:rsid w:val="00682EFD"/>
    <w:rsid w:val="0068685F"/>
    <w:rsid w:val="00686EA2"/>
    <w:rsid w:val="006879DF"/>
    <w:rsid w:val="0069466F"/>
    <w:rsid w:val="00695720"/>
    <w:rsid w:val="006964BE"/>
    <w:rsid w:val="0069716C"/>
    <w:rsid w:val="006975CB"/>
    <w:rsid w:val="006977BA"/>
    <w:rsid w:val="006A3A14"/>
    <w:rsid w:val="006A3B48"/>
    <w:rsid w:val="006B10CF"/>
    <w:rsid w:val="006B1145"/>
    <w:rsid w:val="006B1B5A"/>
    <w:rsid w:val="006B3B7A"/>
    <w:rsid w:val="006B5543"/>
    <w:rsid w:val="006B5DDB"/>
    <w:rsid w:val="006C1E0E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2547"/>
    <w:rsid w:val="00786311"/>
    <w:rsid w:val="00786A17"/>
    <w:rsid w:val="007924CE"/>
    <w:rsid w:val="007957BC"/>
    <w:rsid w:val="007963E4"/>
    <w:rsid w:val="00796B00"/>
    <w:rsid w:val="007A1C1A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2F00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4EB8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A7DFB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D7699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B47"/>
    <w:rsid w:val="009431A8"/>
    <w:rsid w:val="00943626"/>
    <w:rsid w:val="00943E45"/>
    <w:rsid w:val="009445A3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135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5FE7"/>
    <w:rsid w:val="00A36706"/>
    <w:rsid w:val="00A36E88"/>
    <w:rsid w:val="00A41B21"/>
    <w:rsid w:val="00A430CF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8672D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2DF"/>
    <w:rsid w:val="00C05418"/>
    <w:rsid w:val="00C057F1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911"/>
    <w:rsid w:val="00CB5928"/>
    <w:rsid w:val="00CB7E08"/>
    <w:rsid w:val="00CC1AC0"/>
    <w:rsid w:val="00CC2D64"/>
    <w:rsid w:val="00CC2FB4"/>
    <w:rsid w:val="00CC34CB"/>
    <w:rsid w:val="00CC3E52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66252"/>
    <w:rsid w:val="00D70AD6"/>
    <w:rsid w:val="00D71088"/>
    <w:rsid w:val="00D726C4"/>
    <w:rsid w:val="00D73D2E"/>
    <w:rsid w:val="00D750B2"/>
    <w:rsid w:val="00D7526A"/>
    <w:rsid w:val="00D75EF6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6AF4"/>
    <w:rsid w:val="00E07E5C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A6ABA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E5918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05B51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2F8A"/>
    <w:rsid w:val="00F9639A"/>
    <w:rsid w:val="00F96A82"/>
    <w:rsid w:val="00F97935"/>
    <w:rsid w:val="00F97E40"/>
    <w:rsid w:val="00FA265F"/>
    <w:rsid w:val="00FA2AB2"/>
    <w:rsid w:val="00FA2B19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09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A42D921E343949EB802F1265CF3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DBB-D380-4806-A7DB-6548C5BD58A8}"/>
      </w:docPartPr>
      <w:docPartBody>
        <w:p w:rsidR="004D0A8E" w:rsidRDefault="00FE516D" w:rsidP="00FE516D">
          <w:pPr>
            <w:pStyle w:val="A42D921E343949EB802F1265CF3378C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C6C6A93F7C845CFA1116F6024C6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982D-D954-475E-8B16-40B57AB922DE}"/>
      </w:docPartPr>
      <w:docPartBody>
        <w:p w:rsidR="00000000" w:rsidRDefault="00566C04" w:rsidP="00566C04">
          <w:pPr>
            <w:pStyle w:val="9C6C6A93F7C845CFA1116F6024C6DDBD"/>
          </w:pPr>
          <w:r>
            <w:rPr>
              <w:rStyle w:val="Textodelmarcadordeposicin"/>
            </w:rPr>
            <w:t>[Asunto]</w:t>
          </w:r>
        </w:p>
      </w:docPartBody>
    </w:docPart>
    <w:docPart>
      <w:docPartPr>
        <w:name w:val="7408819737B44322AA7F9C345AB6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C0A1-6960-4DDD-BF0C-684E1FC52AFA}"/>
      </w:docPartPr>
      <w:docPartBody>
        <w:p w:rsidR="00000000" w:rsidRDefault="00566C04" w:rsidP="00566C04">
          <w:pPr>
            <w:pStyle w:val="7408819737B44322AA7F9C345AB669C8"/>
          </w:pPr>
          <w:r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D0A8E"/>
    <w:rsid w:val="004F3DC9"/>
    <w:rsid w:val="004F7A87"/>
    <w:rsid w:val="005102B3"/>
    <w:rsid w:val="00514C37"/>
    <w:rsid w:val="00566C04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70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6C04"/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  <w:style w:type="paragraph" w:customStyle="1" w:styleId="8A7D7ACEBB0241EEA81839004C7FB5F6">
    <w:name w:val="8A7D7ACEBB0241EEA81839004C7FB5F6"/>
    <w:rsid w:val="00566C04"/>
    <w:rPr>
      <w:lang w:val="es-MX" w:eastAsia="es-MX"/>
    </w:rPr>
  </w:style>
  <w:style w:type="paragraph" w:customStyle="1" w:styleId="9C6C6A93F7C845CFA1116F6024C6DDBD">
    <w:name w:val="9C6C6A93F7C845CFA1116F6024C6DDBD"/>
    <w:rsid w:val="00566C04"/>
    <w:rPr>
      <w:lang w:val="es-MX" w:eastAsia="es-MX"/>
    </w:rPr>
  </w:style>
  <w:style w:type="paragraph" w:customStyle="1" w:styleId="7408819737B44322AA7F9C345AB669C8">
    <w:name w:val="7408819737B44322AA7F9C345AB669C8"/>
    <w:rsid w:val="00566C0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30 de septiembre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LCCC-040-2022 CON CONCURRENCIA DEL COMITÉ</dc:subject>
  <dc:creator>Christian</dc:creator>
  <dc:description>Anexo 1 Gafetes.zip.</dc:description>
  <cp:lastModifiedBy>Direccion de Recursos Materiales</cp:lastModifiedBy>
  <cp:revision>2</cp:revision>
  <cp:lastPrinted>2022-10-10T17:16:00Z</cp:lastPrinted>
  <dcterms:created xsi:type="dcterms:W3CDTF">2022-10-10T17:24:00Z</dcterms:created>
  <dcterms:modified xsi:type="dcterms:W3CDTF">2022-10-10T17:24:00Z</dcterms:modified>
  <cp:category>“SERVICIO DE TRANSPORTE DE PERSONAL Y PACIENTES DEL CENTRO DE ATENCIÓN INTEGRAL DE SALUD MENTAL (CAISAME) ESTANCIA PROLONGADA DEL INSTITUTO JALISCIENSE DE SALUD MENTAL (SALME)”</cp:category>
</cp:coreProperties>
</file>